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eastAsiaTheme="minorEastAsia"/>
          <w:sz w:val="32"/>
          <w:szCs w:val="32"/>
          <w:lang w:eastAsia="zh-CN"/>
        </w:rPr>
      </w:pPr>
      <w:bookmarkStart w:id="0" w:name="_Toc31711"/>
      <w:bookmarkStart w:id="1" w:name="_Toc2176"/>
      <w:r>
        <w:rPr>
          <w:rFonts w:hint="eastAsia"/>
          <w:sz w:val="32"/>
          <w:szCs w:val="32"/>
          <w:u w:val="single"/>
          <w:lang w:eastAsia="zh-CN"/>
        </w:rPr>
        <w:t>曲沃县</w:t>
      </w:r>
      <w:bookmarkEnd w:id="0"/>
      <w:bookmarkEnd w:id="1"/>
      <w:r>
        <w:rPr>
          <w:rFonts w:hint="eastAsia"/>
          <w:sz w:val="32"/>
          <w:szCs w:val="32"/>
          <w:lang w:eastAsia="zh-CN"/>
        </w:rPr>
        <w:t>公安局</w:t>
      </w:r>
    </w:p>
    <w:p>
      <w:pPr>
        <w:pStyle w:val="3"/>
        <w:rPr>
          <w:kern w:val="0"/>
          <w:sz w:val="32"/>
          <w:szCs w:val="32"/>
        </w:rPr>
      </w:pPr>
      <w:bookmarkStart w:id="2" w:name="_Toc13505"/>
      <w:bookmarkStart w:id="3" w:name="_Toc16045"/>
      <w:r>
        <w:rPr>
          <w:rFonts w:hint="eastAsia"/>
          <w:sz w:val="32"/>
          <w:szCs w:val="32"/>
        </w:rPr>
        <w:t>债券存续期信息公示</w:t>
      </w:r>
      <w:bookmarkEnd w:id="2"/>
      <w:bookmarkEnd w:id="3"/>
    </w:p>
    <w:p>
      <w:pPr>
        <w:spacing w:line="600" w:lineRule="exact"/>
        <w:ind w:firstLine="562" w:firstLineChars="200"/>
        <w:rPr>
          <w:b/>
          <w:sz w:val="28"/>
          <w:szCs w:val="28"/>
        </w:rPr>
      </w:pPr>
      <w:r>
        <w:rPr>
          <w:rFonts w:hint="eastAsia"/>
          <w:b/>
          <w:sz w:val="28"/>
          <w:szCs w:val="28"/>
        </w:rPr>
        <w:t>一、债券资金使用单位</w:t>
      </w:r>
    </w:p>
    <w:p>
      <w:pPr>
        <w:spacing w:line="600" w:lineRule="exact"/>
        <w:ind w:firstLine="560" w:firstLineChars="200"/>
        <w:rPr>
          <w:sz w:val="28"/>
          <w:szCs w:val="28"/>
        </w:rPr>
      </w:pPr>
      <w:r>
        <w:rPr>
          <w:rFonts w:hint="eastAsia" w:cs="Times New Roman"/>
          <w:sz w:val="28"/>
          <w:szCs w:val="28"/>
        </w:rPr>
        <w:t>本次信息公示所涉债券资金的使用单位</w:t>
      </w:r>
      <w:r>
        <w:rPr>
          <w:rFonts w:hint="eastAsia"/>
          <w:sz w:val="28"/>
          <w:szCs w:val="28"/>
        </w:rPr>
        <w:t>：</w:t>
      </w:r>
      <w:r>
        <w:rPr>
          <w:rFonts w:hint="eastAsia"/>
          <w:sz w:val="28"/>
          <w:szCs w:val="28"/>
          <w:u w:val="single"/>
          <w:lang w:eastAsia="zh-CN"/>
        </w:rPr>
        <w:t>曲沃</w:t>
      </w:r>
      <w:r>
        <w:rPr>
          <w:rFonts w:hint="eastAsia"/>
          <w:sz w:val="28"/>
          <w:szCs w:val="28"/>
          <w:u w:val="single"/>
        </w:rPr>
        <w:t>县</w:t>
      </w:r>
      <w:r>
        <w:rPr>
          <w:rFonts w:hint="eastAsia"/>
          <w:sz w:val="28"/>
          <w:szCs w:val="28"/>
          <w:lang w:eastAsia="zh-CN"/>
        </w:rPr>
        <w:t>公安</w:t>
      </w:r>
      <w:r>
        <w:rPr>
          <w:rFonts w:hint="eastAsia"/>
          <w:sz w:val="28"/>
          <w:szCs w:val="28"/>
        </w:rPr>
        <w:t>局。本单位依法取得了《统一社会信用代码证书》。基本信息如下：</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机构名称</w:t>
            </w:r>
          </w:p>
        </w:tc>
        <w:tc>
          <w:tcPr>
            <w:tcW w:w="5858" w:type="dxa"/>
            <w:noWrap/>
            <w:vAlign w:val="center"/>
          </w:tcPr>
          <w:p>
            <w:pPr>
              <w:spacing w:line="600" w:lineRule="exact"/>
              <w:jc w:val="center"/>
              <w:rPr>
                <w:sz w:val="28"/>
                <w:szCs w:val="28"/>
              </w:rPr>
            </w:pPr>
            <w:r>
              <w:rPr>
                <w:rFonts w:hint="eastAsia"/>
                <w:sz w:val="28"/>
                <w:szCs w:val="28"/>
                <w:u w:val="single"/>
                <w:lang w:eastAsia="zh-CN"/>
              </w:rPr>
              <w:t>曲沃县</w:t>
            </w:r>
            <w:r>
              <w:rPr>
                <w:rFonts w:hint="eastAsia"/>
                <w:sz w:val="28"/>
                <w:szCs w:val="28"/>
                <w:lang w:eastAsia="zh-CN"/>
              </w:rPr>
              <w:t>公安</w:t>
            </w:r>
            <w:r>
              <w:rPr>
                <w:rFonts w:hint="eastAsia"/>
                <w:sz w:val="28"/>
                <w:szCs w:val="28"/>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机构性质</w:t>
            </w:r>
          </w:p>
        </w:tc>
        <w:tc>
          <w:tcPr>
            <w:tcW w:w="5858" w:type="dxa"/>
            <w:noWrap/>
            <w:vAlign w:val="center"/>
          </w:tcPr>
          <w:p>
            <w:pPr>
              <w:spacing w:line="600" w:lineRule="exact"/>
              <w:jc w:val="center"/>
              <w:rPr>
                <w:sz w:val="28"/>
                <w:szCs w:val="28"/>
              </w:rPr>
            </w:pPr>
            <w:r>
              <w:rPr>
                <w:rFonts w:hint="eastAsia"/>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统一社会信用代码</w:t>
            </w:r>
          </w:p>
        </w:tc>
        <w:tc>
          <w:tcPr>
            <w:tcW w:w="5858" w:type="dxa"/>
            <w:noWrap/>
            <w:vAlign w:val="center"/>
          </w:tcPr>
          <w:p>
            <w:pPr>
              <w:spacing w:line="600" w:lineRule="exact"/>
              <w:jc w:val="center"/>
              <w:rPr>
                <w:rFonts w:hint="default" w:eastAsiaTheme="minorEastAsia"/>
                <w:color w:val="FF0000"/>
                <w:sz w:val="28"/>
                <w:szCs w:val="28"/>
                <w:lang w:val="en-US" w:eastAsia="zh-CN"/>
              </w:rPr>
            </w:pPr>
            <w:r>
              <w:rPr>
                <w:rFonts w:hint="eastAsia"/>
                <w:color w:val="auto"/>
                <w:sz w:val="28"/>
                <w:szCs w:val="28"/>
              </w:rPr>
              <w:t xml:space="preserve"> </w:t>
            </w:r>
            <w:r>
              <w:rPr>
                <w:rFonts w:hint="eastAsia"/>
                <w:color w:val="auto"/>
                <w:sz w:val="28"/>
                <w:szCs w:val="28"/>
                <w:lang w:val="en-US" w:eastAsia="zh-CN"/>
              </w:rPr>
              <w:t>11140921012800136D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机构地址</w:t>
            </w:r>
          </w:p>
        </w:tc>
        <w:tc>
          <w:tcPr>
            <w:tcW w:w="5858" w:type="dxa"/>
            <w:noWrap/>
            <w:vAlign w:val="center"/>
          </w:tcPr>
          <w:p>
            <w:pPr>
              <w:spacing w:line="600" w:lineRule="exact"/>
              <w:jc w:val="center"/>
              <w:rPr>
                <w:color w:val="FF0000"/>
                <w:sz w:val="28"/>
                <w:szCs w:val="28"/>
              </w:rPr>
            </w:pPr>
            <w:r>
              <w:rPr>
                <w:rFonts w:hint="eastAsia"/>
                <w:color w:val="auto"/>
                <w:sz w:val="28"/>
                <w:szCs w:val="28"/>
                <w:lang w:eastAsia="zh-CN"/>
              </w:rPr>
              <w:t>山西省临汾市曲沃县文公大街</w:t>
            </w:r>
            <w:r>
              <w:rPr>
                <w:rFonts w:hint="eastAsia"/>
                <w:color w:val="auto"/>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负责人</w:t>
            </w:r>
          </w:p>
        </w:tc>
        <w:tc>
          <w:tcPr>
            <w:tcW w:w="5858" w:type="dxa"/>
            <w:noWrap/>
            <w:vAlign w:val="center"/>
          </w:tcPr>
          <w:p>
            <w:pPr>
              <w:spacing w:line="600" w:lineRule="exact"/>
              <w:jc w:val="center"/>
              <w:rPr>
                <w:color w:val="FF0000"/>
                <w:sz w:val="28"/>
                <w:szCs w:val="28"/>
              </w:rPr>
            </w:pPr>
            <w:r>
              <w:rPr>
                <w:rFonts w:hint="eastAsia"/>
                <w:color w:val="auto"/>
                <w:sz w:val="28"/>
                <w:szCs w:val="28"/>
                <w:lang w:eastAsia="zh-CN"/>
              </w:rPr>
              <w:t>王博君</w:t>
            </w:r>
            <w:r>
              <w:rPr>
                <w:rFonts w:hint="eastAsia"/>
                <w:color w:val="FF0000"/>
                <w:sz w:val="28"/>
                <w:szCs w:val="28"/>
              </w:rPr>
              <w:t xml:space="preserve"> </w:t>
            </w:r>
          </w:p>
        </w:tc>
      </w:tr>
    </w:tbl>
    <w:p>
      <w:pPr>
        <w:spacing w:line="600" w:lineRule="exact"/>
        <w:ind w:firstLine="562" w:firstLineChars="200"/>
        <w:rPr>
          <w:b/>
          <w:sz w:val="28"/>
          <w:szCs w:val="28"/>
        </w:rPr>
      </w:pPr>
      <w:r>
        <w:rPr>
          <w:rFonts w:hint="eastAsia"/>
          <w:b/>
          <w:sz w:val="28"/>
          <w:szCs w:val="28"/>
        </w:rPr>
        <w:t>二、债券资金拨付情况</w:t>
      </w:r>
    </w:p>
    <w:p>
      <w:pPr>
        <w:spacing w:line="600" w:lineRule="exact"/>
        <w:ind w:firstLine="560" w:firstLineChars="200"/>
        <w:rPr>
          <w:sz w:val="28"/>
          <w:szCs w:val="28"/>
        </w:rPr>
      </w:pPr>
      <w:r>
        <w:rPr>
          <w:rFonts w:hint="eastAsia"/>
          <w:sz w:val="28"/>
          <w:szCs w:val="28"/>
        </w:rPr>
        <w:t>2019年度，</w:t>
      </w:r>
      <w:r>
        <w:rPr>
          <w:rFonts w:hint="eastAsia"/>
          <w:sz w:val="28"/>
          <w:szCs w:val="28"/>
          <w:u w:val="single"/>
          <w:lang w:eastAsia="zh-CN"/>
        </w:rPr>
        <w:t>曲沃县</w:t>
      </w:r>
      <w:r>
        <w:rPr>
          <w:rFonts w:hint="eastAsia"/>
          <w:sz w:val="28"/>
          <w:szCs w:val="28"/>
          <w:lang w:eastAsia="zh-CN"/>
        </w:rPr>
        <w:t>公安</w:t>
      </w:r>
      <w:r>
        <w:rPr>
          <w:rFonts w:hint="eastAsia"/>
          <w:sz w:val="28"/>
          <w:szCs w:val="28"/>
        </w:rPr>
        <w:t>局共收到拨付的债券资金</w:t>
      </w:r>
      <w:r>
        <w:rPr>
          <w:rFonts w:hint="eastAsia"/>
          <w:sz w:val="28"/>
          <w:szCs w:val="28"/>
          <w:u w:val="single"/>
          <w:lang w:val="en-US" w:eastAsia="zh-CN"/>
        </w:rPr>
        <w:t>800</w:t>
      </w:r>
      <w:r>
        <w:rPr>
          <w:rFonts w:hint="eastAsia"/>
          <w:sz w:val="28"/>
          <w:szCs w:val="28"/>
        </w:rPr>
        <w:t>万元，其中：一般债券资金</w:t>
      </w:r>
      <w:r>
        <w:rPr>
          <w:rFonts w:hint="eastAsia"/>
          <w:sz w:val="28"/>
          <w:szCs w:val="28"/>
          <w:u w:val="single"/>
          <w:lang w:val="en-US" w:eastAsia="zh-CN"/>
        </w:rPr>
        <w:t>800</w:t>
      </w:r>
      <w:r>
        <w:rPr>
          <w:rFonts w:hint="eastAsia"/>
          <w:sz w:val="28"/>
          <w:szCs w:val="28"/>
        </w:rPr>
        <w:t>万元。具体情况如下：</w:t>
      </w:r>
    </w:p>
    <w:p>
      <w:pPr>
        <w:spacing w:line="600" w:lineRule="exact"/>
        <w:ind w:firstLine="560" w:firstLineChars="200"/>
        <w:rPr>
          <w:sz w:val="28"/>
          <w:szCs w:val="28"/>
        </w:rPr>
      </w:pPr>
      <w:r>
        <w:rPr>
          <w:rFonts w:hint="eastAsia"/>
          <w:sz w:val="28"/>
          <w:szCs w:val="28"/>
        </w:rPr>
        <w:t>2019年</w:t>
      </w:r>
      <w:r>
        <w:rPr>
          <w:rFonts w:hint="eastAsia"/>
          <w:sz w:val="28"/>
          <w:szCs w:val="28"/>
          <w:u w:val="single"/>
          <w:lang w:val="en-US" w:eastAsia="zh-CN"/>
        </w:rPr>
        <w:t>1</w:t>
      </w:r>
      <w:r>
        <w:rPr>
          <w:rFonts w:hint="eastAsia"/>
          <w:sz w:val="28"/>
          <w:szCs w:val="28"/>
        </w:rPr>
        <w:t>月</w:t>
      </w:r>
      <w:r>
        <w:rPr>
          <w:rFonts w:hint="eastAsia"/>
          <w:sz w:val="28"/>
          <w:szCs w:val="28"/>
          <w:u w:val="single"/>
          <w:lang w:val="en-US" w:eastAsia="zh-CN"/>
        </w:rPr>
        <w:t>9</w:t>
      </w:r>
      <w:bookmarkStart w:id="4" w:name="_GoBack"/>
      <w:bookmarkEnd w:id="4"/>
      <w:r>
        <w:rPr>
          <w:rFonts w:hint="eastAsia"/>
          <w:sz w:val="28"/>
          <w:szCs w:val="28"/>
        </w:rPr>
        <w:t>日，</w:t>
      </w:r>
      <w:r>
        <w:rPr>
          <w:rFonts w:hint="eastAsia"/>
          <w:sz w:val="28"/>
          <w:szCs w:val="28"/>
          <w:lang w:eastAsia="zh-CN"/>
        </w:rPr>
        <w:t>曲沃县</w:t>
      </w:r>
      <w:r>
        <w:rPr>
          <w:rFonts w:hint="eastAsia"/>
          <w:sz w:val="28"/>
          <w:szCs w:val="28"/>
        </w:rPr>
        <w:t>财政局拨付债券资金</w:t>
      </w:r>
      <w:r>
        <w:rPr>
          <w:rFonts w:hint="eastAsia"/>
          <w:sz w:val="28"/>
          <w:szCs w:val="28"/>
          <w:u w:val="single"/>
          <w:lang w:val="en-US" w:eastAsia="zh-CN"/>
        </w:rPr>
        <w:t>800</w:t>
      </w:r>
      <w:r>
        <w:rPr>
          <w:rFonts w:hint="eastAsia"/>
          <w:sz w:val="28"/>
          <w:szCs w:val="28"/>
        </w:rPr>
        <w:t>万元。</w:t>
      </w:r>
    </w:p>
    <w:p>
      <w:pPr>
        <w:spacing w:line="600" w:lineRule="exact"/>
        <w:ind w:firstLine="562" w:firstLineChars="200"/>
        <w:rPr>
          <w:b/>
          <w:sz w:val="28"/>
          <w:szCs w:val="28"/>
        </w:rPr>
      </w:pPr>
      <w:r>
        <w:rPr>
          <w:rFonts w:hint="eastAsia"/>
          <w:b/>
          <w:sz w:val="28"/>
          <w:szCs w:val="28"/>
        </w:rPr>
        <w:t>三、债券资金使用情况</w:t>
      </w:r>
    </w:p>
    <w:p>
      <w:pPr>
        <w:spacing w:line="600" w:lineRule="exact"/>
        <w:ind w:firstLine="560" w:firstLineChars="200"/>
        <w:rPr>
          <w:sz w:val="28"/>
          <w:szCs w:val="28"/>
        </w:rPr>
      </w:pPr>
      <w:r>
        <w:rPr>
          <w:rFonts w:hint="eastAsia"/>
          <w:sz w:val="28"/>
          <w:szCs w:val="28"/>
        </w:rPr>
        <w:t>截止2019年1</w:t>
      </w:r>
      <w:r>
        <w:rPr>
          <w:sz w:val="28"/>
          <w:szCs w:val="28"/>
        </w:rPr>
        <w:t>2</w:t>
      </w:r>
      <w:r>
        <w:rPr>
          <w:rFonts w:hint="eastAsia"/>
          <w:sz w:val="28"/>
          <w:szCs w:val="28"/>
        </w:rPr>
        <w:t>月3</w:t>
      </w:r>
      <w:r>
        <w:rPr>
          <w:sz w:val="28"/>
          <w:szCs w:val="28"/>
        </w:rPr>
        <w:t>1</w:t>
      </w:r>
      <w:r>
        <w:rPr>
          <w:rFonts w:hint="eastAsia"/>
          <w:sz w:val="28"/>
          <w:szCs w:val="28"/>
        </w:rPr>
        <w:t>日，</w:t>
      </w:r>
      <w:r>
        <w:rPr>
          <w:rFonts w:hint="eastAsia"/>
          <w:sz w:val="28"/>
          <w:szCs w:val="28"/>
          <w:u w:val="single"/>
          <w:lang w:eastAsia="zh-CN"/>
        </w:rPr>
        <w:t>曲沃县</w:t>
      </w:r>
      <w:r>
        <w:rPr>
          <w:rFonts w:hint="eastAsia"/>
          <w:sz w:val="28"/>
          <w:szCs w:val="28"/>
          <w:lang w:eastAsia="zh-CN"/>
        </w:rPr>
        <w:t>公安</w:t>
      </w:r>
      <w:r>
        <w:rPr>
          <w:rFonts w:hint="eastAsia"/>
          <w:sz w:val="28"/>
          <w:szCs w:val="28"/>
        </w:rPr>
        <w:t>局</w:t>
      </w:r>
      <w:r>
        <w:rPr>
          <w:rFonts w:hint="eastAsia"/>
          <w:sz w:val="28"/>
          <w:szCs w:val="28"/>
          <w:lang w:eastAsia="zh-CN"/>
        </w:rPr>
        <w:t>“雪亮工程”</w:t>
      </w:r>
      <w:r>
        <w:rPr>
          <w:rFonts w:hint="eastAsia"/>
          <w:sz w:val="28"/>
          <w:szCs w:val="28"/>
        </w:rPr>
        <w:t>建设项目本年度债券资金已全部使用完毕。</w:t>
      </w:r>
    </w:p>
    <w:tbl>
      <w:tblPr>
        <w:tblStyle w:val="6"/>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noWrap/>
            <w:tcMar>
              <w:top w:w="15" w:type="dxa"/>
              <w:left w:w="15" w:type="dxa"/>
              <w:right w:w="15" w:type="dxa"/>
            </w:tcMar>
            <w:vAlign w:val="center"/>
          </w:tcPr>
          <w:p>
            <w:pPr>
              <w:jc w:val="center"/>
              <w:rPr>
                <w:color w:val="000000"/>
                <w:sz w:val="20"/>
                <w:szCs w:val="20"/>
              </w:rPr>
            </w:pPr>
          </w:p>
        </w:tc>
        <w:tc>
          <w:tcPr>
            <w:tcW w:w="1300" w:type="dxa"/>
            <w:tcBorders>
              <w:top w:val="nil"/>
              <w:left w:val="nil"/>
              <w:bottom w:val="single" w:color="000000" w:sz="8" w:space="0"/>
              <w:right w:val="nil"/>
            </w:tcBorders>
            <w:shd w:val="clear" w:color="auto" w:fill="auto"/>
            <w:noWrap/>
            <w:tcMar>
              <w:top w:w="15" w:type="dxa"/>
              <w:left w:w="15" w:type="dxa"/>
              <w:right w:w="15" w:type="dxa"/>
            </w:tcMar>
            <w:vAlign w:val="center"/>
          </w:tcPr>
          <w:p>
            <w:pPr>
              <w:jc w:val="center"/>
              <w:rPr>
                <w:color w:val="000000"/>
                <w:sz w:val="20"/>
                <w:szCs w:val="20"/>
              </w:rPr>
            </w:pPr>
          </w:p>
        </w:tc>
        <w:tc>
          <w:tcPr>
            <w:tcW w:w="4521" w:type="dxa"/>
            <w:tcBorders>
              <w:top w:val="nil"/>
              <w:left w:val="nil"/>
              <w:bottom w:val="single" w:color="000000" w:sz="8" w:space="0"/>
              <w:right w:val="nil"/>
            </w:tcBorders>
            <w:shd w:val="clear" w:color="auto" w:fill="auto"/>
            <w:noWrap/>
            <w:tcMar>
              <w:top w:w="15" w:type="dxa"/>
              <w:left w:w="15" w:type="dxa"/>
              <w:right w:w="15" w:type="dxa"/>
            </w:tcMar>
            <w:vAlign w:val="center"/>
          </w:tcPr>
          <w:p>
            <w:pPr>
              <w:jc w:val="center"/>
              <w:rPr>
                <w:color w:val="000000"/>
                <w:sz w:val="20"/>
                <w:szCs w:val="20"/>
              </w:rPr>
            </w:pPr>
          </w:p>
        </w:tc>
        <w:tc>
          <w:tcPr>
            <w:tcW w:w="1792" w:type="dxa"/>
            <w:tcBorders>
              <w:top w:val="nil"/>
              <w:left w:val="nil"/>
              <w:bottom w:val="single" w:color="000000" w:sz="8" w:space="0"/>
              <w:right w:val="nil"/>
            </w:tcBorders>
            <w:shd w:val="clear" w:color="auto" w:fill="auto"/>
            <w:noWrap/>
            <w:tcMar>
              <w:top w:w="15" w:type="dxa"/>
              <w:left w:w="15" w:type="dxa"/>
              <w:right w:w="15" w:type="dxa"/>
            </w:tcMar>
            <w:vAlign w:val="center"/>
          </w:tcPr>
          <w:p>
            <w:pPr>
              <w:jc w:val="right"/>
              <w:textAlignment w:val="center"/>
              <w:rPr>
                <w:color w:val="000000"/>
                <w:sz w:val="20"/>
                <w:szCs w:val="20"/>
              </w:rPr>
            </w:pPr>
            <w:r>
              <w:rPr>
                <w:rFonts w:hint="eastAsia"/>
                <w:color w:val="000000"/>
                <w:sz w:val="20"/>
                <w:szCs w:val="20"/>
              </w:rPr>
              <w:t xml:space="preserve">金额单位：万元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摘 要</w:t>
            </w:r>
          </w:p>
        </w:tc>
        <w:tc>
          <w:tcPr>
            <w:tcW w:w="1792" w:type="dxa"/>
            <w:tcBorders>
              <w:top w:val="single" w:color="000000" w:sz="8"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rPr>
              <w:t>2019.0</w:t>
            </w:r>
            <w:r>
              <w:rPr>
                <w:rFonts w:hint="eastAsia"/>
                <w:color w:val="000000"/>
                <w:sz w:val="20"/>
                <w:szCs w:val="20"/>
                <w:lang w:val="en-US" w:eastAsia="zh-CN"/>
              </w:rPr>
              <w:t>1</w:t>
            </w:r>
            <w:r>
              <w:rPr>
                <w:rFonts w:hint="eastAsia"/>
                <w:color w:val="000000"/>
                <w:sz w:val="20"/>
                <w:szCs w:val="20"/>
              </w:rPr>
              <w:t>.</w:t>
            </w:r>
            <w:r>
              <w:rPr>
                <w:rFonts w:hint="eastAsia"/>
                <w:color w:val="000000"/>
                <w:sz w:val="20"/>
                <w:szCs w:val="20"/>
                <w:lang w:val="en-US" w:eastAsia="zh-CN"/>
              </w:rPr>
              <w:t>16</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color w:val="000000"/>
                <w:sz w:val="20"/>
                <w:szCs w:val="20"/>
              </w:rPr>
            </w:pPr>
            <w:r>
              <w:rPr>
                <w:rFonts w:hint="eastAsia"/>
                <w:color w:val="000000"/>
                <w:sz w:val="20"/>
                <w:szCs w:val="20"/>
              </w:rPr>
              <w:t>支付工程进度款</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color w:val="000000"/>
                <w:sz w:val="20"/>
                <w:szCs w:val="20"/>
              </w:rPr>
            </w:pPr>
            <w:r>
              <w:rPr>
                <w:rFonts w:hint="eastAsia"/>
                <w:color w:val="000000"/>
                <w:sz w:val="20"/>
                <w:szCs w:val="20"/>
                <w:lang w:val="en-US" w:eastAsia="zh-CN"/>
              </w:rPr>
              <w:t>800</w:t>
            </w:r>
            <w:r>
              <w:rPr>
                <w:color w:val="000000"/>
                <w:sz w:val="20"/>
                <w:szCs w:val="20"/>
              </w:rPr>
              <w:t>.00</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合 计</w:t>
            </w:r>
          </w:p>
        </w:tc>
        <w:tc>
          <w:tcPr>
            <w:tcW w:w="1792" w:type="dxa"/>
            <w:tcBorders>
              <w:top w:val="dotted" w:color="auto" w:sz="4" w:space="0"/>
              <w:left w:val="dotted" w:color="auto" w:sz="4" w:space="0"/>
              <w:bottom w:val="single" w:color="000000" w:sz="8" w:space="0"/>
            </w:tcBorders>
            <w:shd w:val="clear" w:color="auto" w:fill="auto"/>
            <w:noWrap/>
            <w:tcMar>
              <w:top w:w="15" w:type="dxa"/>
              <w:left w:w="15" w:type="dxa"/>
              <w:right w:w="15" w:type="dxa"/>
            </w:tcMar>
            <w:vAlign w:val="center"/>
          </w:tcPr>
          <w:p>
            <w:pPr>
              <w:jc w:val="center"/>
              <w:textAlignment w:val="center"/>
              <w:rPr>
                <w:rFonts w:hint="default" w:eastAsiaTheme="minorEastAsia"/>
                <w:b/>
                <w:color w:val="000000"/>
                <w:sz w:val="20"/>
                <w:szCs w:val="20"/>
                <w:lang w:val="en-US" w:eastAsia="zh-CN"/>
              </w:rPr>
            </w:pPr>
            <w:r>
              <w:rPr>
                <w:rFonts w:hint="eastAsia"/>
                <w:b/>
                <w:color w:val="000000"/>
                <w:sz w:val="20"/>
                <w:szCs w:val="20"/>
                <w:lang w:val="en-US" w:eastAsia="zh-CN"/>
              </w:rPr>
              <w:t>800.00</w:t>
            </w:r>
          </w:p>
        </w:tc>
      </w:tr>
    </w:tbl>
    <w:p>
      <w:pPr>
        <w:adjustRightInd w:val="0"/>
        <w:snapToGrid w:val="0"/>
        <w:spacing w:line="600" w:lineRule="exact"/>
        <w:ind w:firstLine="560" w:firstLineChars="200"/>
        <w:rPr>
          <w:sz w:val="28"/>
          <w:szCs w:val="28"/>
        </w:rPr>
      </w:pPr>
      <w:r>
        <w:rPr>
          <w:rFonts w:hint="eastAsia"/>
          <w:bCs/>
          <w:sz w:val="28"/>
          <w:szCs w:val="28"/>
        </w:rPr>
        <w:t>本单位严格按照一般债券资金规定用途使用，不存在资金用途调整情况。</w:t>
      </w:r>
    </w:p>
    <w:p>
      <w:pPr>
        <w:spacing w:line="600" w:lineRule="exact"/>
        <w:ind w:firstLine="562" w:firstLineChars="200"/>
        <w:rPr>
          <w:b/>
          <w:bCs/>
          <w:sz w:val="28"/>
          <w:szCs w:val="28"/>
        </w:rPr>
      </w:pPr>
      <w:r>
        <w:rPr>
          <w:rFonts w:hint="eastAsia"/>
          <w:b/>
          <w:bCs/>
          <w:sz w:val="28"/>
          <w:szCs w:val="28"/>
        </w:rPr>
        <w:t>四、债券资金对应的投资项目</w:t>
      </w:r>
    </w:p>
    <w:p>
      <w:pPr>
        <w:spacing w:line="600" w:lineRule="exact"/>
        <w:ind w:firstLine="560" w:firstLineChars="200"/>
        <w:rPr>
          <w:bCs/>
          <w:sz w:val="28"/>
          <w:szCs w:val="28"/>
        </w:rPr>
      </w:pPr>
      <w:r>
        <w:rPr>
          <w:rFonts w:hint="eastAsia"/>
          <w:bCs/>
          <w:sz w:val="28"/>
          <w:szCs w:val="28"/>
        </w:rPr>
        <w:t>一般债券资金对应的投资项目为</w:t>
      </w:r>
      <w:r>
        <w:rPr>
          <w:rFonts w:hint="eastAsia"/>
          <w:sz w:val="28"/>
          <w:szCs w:val="28"/>
        </w:rPr>
        <w:t>“</w:t>
      </w:r>
      <w:r>
        <w:rPr>
          <w:rFonts w:hint="eastAsia"/>
          <w:sz w:val="28"/>
          <w:szCs w:val="28"/>
          <w:lang w:eastAsia="zh-CN"/>
        </w:rPr>
        <w:t>雪亮工程</w:t>
      </w:r>
      <w:r>
        <w:rPr>
          <w:rFonts w:hint="eastAsia"/>
          <w:sz w:val="28"/>
          <w:szCs w:val="28"/>
        </w:rPr>
        <w:t>”</w:t>
      </w:r>
      <w:r>
        <w:rPr>
          <w:rFonts w:hint="eastAsia"/>
          <w:bCs/>
          <w:sz w:val="28"/>
          <w:szCs w:val="28"/>
        </w:rPr>
        <w:t>建设项目。</w:t>
      </w:r>
    </w:p>
    <w:p>
      <w:pPr>
        <w:spacing w:line="600" w:lineRule="exact"/>
        <w:ind w:firstLine="562" w:firstLineChars="200"/>
        <w:rPr>
          <w:b/>
          <w:bCs/>
          <w:sz w:val="28"/>
          <w:szCs w:val="28"/>
        </w:rPr>
      </w:pPr>
      <w:r>
        <w:rPr>
          <w:rFonts w:hint="eastAsia"/>
          <w:b/>
          <w:bCs/>
          <w:sz w:val="28"/>
          <w:szCs w:val="28"/>
        </w:rPr>
        <w:t>1.项目基本情况</w:t>
      </w:r>
    </w:p>
    <w:p>
      <w:pPr>
        <w:spacing w:line="600" w:lineRule="exact"/>
        <w:ind w:firstLine="560" w:firstLineChars="200"/>
        <w:rPr>
          <w:color w:val="FF0000"/>
          <w:sz w:val="28"/>
          <w:szCs w:val="28"/>
        </w:rPr>
      </w:pPr>
      <w:r>
        <w:rPr>
          <w:rFonts w:hint="eastAsia"/>
          <w:color w:val="auto"/>
          <w:sz w:val="28"/>
          <w:szCs w:val="28"/>
          <w:lang w:eastAsia="zh-CN"/>
        </w:rPr>
        <w:t>曲沃县“雪亮工程”</w:t>
      </w:r>
      <w:r>
        <w:rPr>
          <w:rFonts w:hint="eastAsia"/>
          <w:color w:val="auto"/>
          <w:sz w:val="28"/>
          <w:szCs w:val="28"/>
        </w:rPr>
        <w:t>建设项目</w:t>
      </w:r>
      <w:r>
        <w:rPr>
          <w:rFonts w:hint="eastAsia"/>
          <w:color w:val="auto"/>
          <w:sz w:val="28"/>
          <w:szCs w:val="28"/>
          <w:lang w:eastAsia="zh-CN"/>
        </w:rPr>
        <w:t>覆盖</w:t>
      </w:r>
      <w:r>
        <w:rPr>
          <w:rFonts w:hint="eastAsia"/>
          <w:color w:val="auto"/>
          <w:sz w:val="28"/>
          <w:szCs w:val="28"/>
          <w:lang w:eastAsia="zh-CN"/>
        </w:rPr>
        <w:t>曲沃县全县辖区范围</w:t>
      </w:r>
      <w:r>
        <w:rPr>
          <w:rFonts w:hint="eastAsia"/>
          <w:color w:val="auto"/>
          <w:sz w:val="28"/>
          <w:szCs w:val="28"/>
        </w:rPr>
        <w:t>，</w:t>
      </w:r>
      <w:r>
        <w:rPr>
          <w:rFonts w:hint="eastAsia"/>
          <w:color w:val="auto"/>
          <w:sz w:val="28"/>
          <w:szCs w:val="28"/>
          <w:lang w:eastAsia="zh-CN"/>
        </w:rPr>
        <w:t>主要建设内容为：</w:t>
      </w:r>
      <w:r>
        <w:rPr>
          <w:rFonts w:hint="eastAsia"/>
          <w:color w:val="auto"/>
          <w:sz w:val="28"/>
          <w:szCs w:val="28"/>
          <w:lang w:val="en-US" w:eastAsia="zh-CN"/>
        </w:rPr>
        <w:t>1、前端监控点部署：建设视频监控数据834路、融合原有县城的166路，形成前端1000路视频数据的采集密度；2、中心机房：改造中心机房120平方米；3、指挥中心：改造指挥中心400平方米，其他配套用房354平方米。4、综合作战平台包括：警务系统、网安系统、舆情系统、技侦系统、图侦系统、调度系统、公安视频管理系统、多媒体应用系统、多席位联动、110接处警系统。项目建成后，可以提高社会治安综合治理智能化水平，维护国家安全和社会稳定，是预防和打击暴力恐怖犯罪的重要举措，具有较好的社会效益。</w:t>
      </w:r>
    </w:p>
    <w:p>
      <w:pPr>
        <w:spacing w:line="600" w:lineRule="exact"/>
        <w:ind w:firstLine="562" w:firstLineChars="200"/>
        <w:rPr>
          <w:b/>
          <w:bCs/>
          <w:sz w:val="28"/>
          <w:szCs w:val="28"/>
        </w:rPr>
      </w:pPr>
      <w:r>
        <w:rPr>
          <w:rFonts w:hint="eastAsia"/>
          <w:b/>
          <w:bCs/>
          <w:sz w:val="28"/>
          <w:szCs w:val="28"/>
        </w:rPr>
        <w:t>2.项目投资及资金来源</w:t>
      </w:r>
    </w:p>
    <w:p>
      <w:pPr>
        <w:spacing w:line="600" w:lineRule="exact"/>
        <w:ind w:firstLine="560" w:firstLineChars="200"/>
        <w:rPr>
          <w:sz w:val="28"/>
          <w:szCs w:val="28"/>
        </w:rPr>
      </w:pPr>
      <w:r>
        <w:rPr>
          <w:rFonts w:hint="eastAsia"/>
          <w:sz w:val="28"/>
          <w:szCs w:val="28"/>
          <w:u w:val="single"/>
          <w:lang w:eastAsia="zh-CN"/>
        </w:rPr>
        <w:t>曲沃</w:t>
      </w:r>
      <w:r>
        <w:rPr>
          <w:rFonts w:hint="eastAsia"/>
          <w:sz w:val="28"/>
          <w:szCs w:val="28"/>
          <w:u w:val="single"/>
        </w:rPr>
        <w:t>县</w:t>
      </w:r>
      <w:r>
        <w:rPr>
          <w:rFonts w:hint="eastAsia"/>
          <w:sz w:val="28"/>
          <w:szCs w:val="28"/>
        </w:rPr>
        <w:t>“</w:t>
      </w:r>
      <w:r>
        <w:rPr>
          <w:rFonts w:hint="eastAsia"/>
          <w:sz w:val="28"/>
          <w:szCs w:val="28"/>
          <w:lang w:eastAsia="zh-CN"/>
        </w:rPr>
        <w:t>雪亮工程</w:t>
      </w:r>
      <w:r>
        <w:rPr>
          <w:rFonts w:hint="eastAsia"/>
          <w:sz w:val="28"/>
          <w:szCs w:val="28"/>
        </w:rPr>
        <w:t>”</w:t>
      </w:r>
      <w:r>
        <w:rPr>
          <w:rFonts w:hint="eastAsia"/>
          <w:bCs/>
          <w:sz w:val="28"/>
          <w:szCs w:val="28"/>
        </w:rPr>
        <w:t>建设项目</w:t>
      </w:r>
      <w:r>
        <w:rPr>
          <w:rFonts w:hint="eastAsia"/>
          <w:sz w:val="28"/>
          <w:szCs w:val="28"/>
        </w:rPr>
        <w:t>估算总投资</w:t>
      </w:r>
      <w:r>
        <w:rPr>
          <w:rFonts w:hint="eastAsia"/>
          <w:sz w:val="28"/>
          <w:szCs w:val="28"/>
          <w:u w:val="single"/>
          <w:lang w:val="en-US" w:eastAsia="zh-CN"/>
        </w:rPr>
        <w:t>3378</w:t>
      </w:r>
      <w:r>
        <w:rPr>
          <w:rFonts w:hint="eastAsia"/>
          <w:sz w:val="28"/>
          <w:szCs w:val="28"/>
        </w:rPr>
        <w:t>万元，资金来源为</w:t>
      </w:r>
      <w:r>
        <w:rPr>
          <w:rFonts w:hint="eastAsia"/>
          <w:sz w:val="28"/>
          <w:szCs w:val="28"/>
          <w:u w:val="single"/>
          <w:lang w:eastAsia="zh-CN"/>
        </w:rPr>
        <w:t>曲沃县</w:t>
      </w:r>
      <w:r>
        <w:rPr>
          <w:rFonts w:hint="eastAsia"/>
          <w:sz w:val="28"/>
          <w:szCs w:val="28"/>
          <w:u w:val="single"/>
        </w:rPr>
        <w:t>政府出资</w:t>
      </w:r>
      <w:r>
        <w:rPr>
          <w:rFonts w:hint="eastAsia"/>
          <w:sz w:val="28"/>
          <w:szCs w:val="28"/>
        </w:rPr>
        <w:t>。</w:t>
      </w:r>
    </w:p>
    <w:p>
      <w:pPr>
        <w:spacing w:line="600" w:lineRule="exact"/>
        <w:ind w:firstLine="562" w:firstLineChars="200"/>
        <w:rPr>
          <w:b/>
          <w:bCs/>
          <w:sz w:val="28"/>
          <w:szCs w:val="28"/>
        </w:rPr>
      </w:pPr>
      <w:r>
        <w:rPr>
          <w:rFonts w:hint="eastAsia"/>
          <w:b/>
          <w:bCs/>
          <w:sz w:val="28"/>
          <w:szCs w:val="28"/>
        </w:rPr>
        <w:t>3.项目审批情况</w:t>
      </w:r>
    </w:p>
    <w:p>
      <w:pPr>
        <w:spacing w:line="600" w:lineRule="exact"/>
        <w:ind w:firstLine="560" w:firstLineChars="200"/>
        <w:rPr>
          <w:rFonts w:hint="default" w:eastAsiaTheme="minorEastAsia"/>
          <w:lang w:val="en-US" w:eastAsia="zh-CN"/>
        </w:rPr>
      </w:pPr>
      <w:r>
        <w:rPr>
          <w:rFonts w:hint="eastAsia"/>
          <w:color w:val="auto"/>
          <w:sz w:val="28"/>
          <w:szCs w:val="28"/>
        </w:rPr>
        <w:t>201</w:t>
      </w:r>
      <w:r>
        <w:rPr>
          <w:rFonts w:hint="eastAsia"/>
          <w:color w:val="auto"/>
          <w:sz w:val="28"/>
          <w:szCs w:val="28"/>
          <w:lang w:val="en-US" w:eastAsia="zh-CN"/>
        </w:rPr>
        <w:t>7</w:t>
      </w:r>
      <w:r>
        <w:rPr>
          <w:rFonts w:hint="eastAsia"/>
          <w:color w:val="auto"/>
          <w:sz w:val="28"/>
          <w:szCs w:val="28"/>
        </w:rPr>
        <w:t>年0</w:t>
      </w:r>
      <w:r>
        <w:rPr>
          <w:rFonts w:hint="eastAsia"/>
          <w:color w:val="auto"/>
          <w:sz w:val="28"/>
          <w:szCs w:val="28"/>
          <w:lang w:val="en-US" w:eastAsia="zh-CN"/>
        </w:rPr>
        <w:t>6</w:t>
      </w:r>
      <w:r>
        <w:rPr>
          <w:rFonts w:hint="eastAsia"/>
          <w:color w:val="auto"/>
          <w:sz w:val="28"/>
          <w:szCs w:val="28"/>
        </w:rPr>
        <w:t>月2</w:t>
      </w:r>
      <w:r>
        <w:rPr>
          <w:rFonts w:hint="eastAsia"/>
          <w:color w:val="auto"/>
          <w:sz w:val="28"/>
          <w:szCs w:val="28"/>
          <w:lang w:val="en-US" w:eastAsia="zh-CN"/>
        </w:rPr>
        <w:t>0</w:t>
      </w:r>
      <w:r>
        <w:rPr>
          <w:rFonts w:hint="eastAsia"/>
          <w:color w:val="auto"/>
          <w:sz w:val="28"/>
          <w:szCs w:val="28"/>
        </w:rPr>
        <w:t>日，项目取得</w:t>
      </w:r>
      <w:r>
        <w:rPr>
          <w:rFonts w:hint="eastAsia"/>
          <w:color w:val="auto"/>
          <w:sz w:val="28"/>
          <w:szCs w:val="28"/>
          <w:lang w:eastAsia="zh-CN"/>
        </w:rPr>
        <w:t>曲沃县</w:t>
      </w:r>
      <w:r>
        <w:rPr>
          <w:rFonts w:hint="eastAsia"/>
          <w:color w:val="auto"/>
          <w:sz w:val="28"/>
          <w:szCs w:val="28"/>
        </w:rPr>
        <w:t>发展和改革</w:t>
      </w:r>
      <w:r>
        <w:rPr>
          <w:rFonts w:hint="eastAsia"/>
          <w:color w:val="auto"/>
          <w:sz w:val="28"/>
          <w:szCs w:val="28"/>
          <w:lang w:eastAsia="zh-CN"/>
        </w:rPr>
        <w:t>局</w:t>
      </w:r>
      <w:r>
        <w:rPr>
          <w:rFonts w:hint="eastAsia"/>
          <w:color w:val="auto"/>
          <w:sz w:val="28"/>
          <w:szCs w:val="28"/>
        </w:rPr>
        <w:t>《关于</w:t>
      </w:r>
      <w:r>
        <w:rPr>
          <w:rFonts w:hint="eastAsia"/>
          <w:color w:val="auto"/>
          <w:sz w:val="28"/>
          <w:szCs w:val="28"/>
          <w:lang w:eastAsia="zh-CN"/>
        </w:rPr>
        <w:t>曲沃县“雪亮工程”建设</w:t>
      </w:r>
      <w:r>
        <w:rPr>
          <w:rFonts w:hint="eastAsia"/>
          <w:color w:val="auto"/>
          <w:sz w:val="28"/>
          <w:szCs w:val="28"/>
        </w:rPr>
        <w:t>项目可行性研究报告的批复》（</w:t>
      </w:r>
      <w:r>
        <w:rPr>
          <w:rFonts w:hint="eastAsia"/>
          <w:color w:val="auto"/>
          <w:sz w:val="28"/>
          <w:szCs w:val="28"/>
          <w:lang w:eastAsia="zh-CN"/>
        </w:rPr>
        <w:t>曲</w:t>
      </w:r>
      <w:r>
        <w:rPr>
          <w:rFonts w:hint="eastAsia"/>
          <w:color w:val="auto"/>
          <w:sz w:val="28"/>
          <w:szCs w:val="28"/>
        </w:rPr>
        <w:t>发改</w:t>
      </w:r>
      <w:r>
        <w:rPr>
          <w:rFonts w:hint="eastAsia"/>
          <w:color w:val="auto"/>
          <w:sz w:val="28"/>
          <w:szCs w:val="28"/>
          <w:lang w:eastAsia="zh-CN"/>
        </w:rPr>
        <w:t>审批</w:t>
      </w:r>
      <w:r>
        <w:rPr>
          <w:rFonts w:hint="eastAsia"/>
          <w:color w:val="auto"/>
          <w:sz w:val="28"/>
          <w:szCs w:val="28"/>
        </w:rPr>
        <w:t>[201</w:t>
      </w:r>
      <w:r>
        <w:rPr>
          <w:rFonts w:hint="eastAsia"/>
          <w:color w:val="auto"/>
          <w:sz w:val="28"/>
          <w:szCs w:val="28"/>
          <w:lang w:val="en-US" w:eastAsia="zh-CN"/>
        </w:rPr>
        <w:t>7</w:t>
      </w:r>
      <w:r>
        <w:rPr>
          <w:rFonts w:hint="eastAsia"/>
          <w:color w:val="auto"/>
          <w:sz w:val="28"/>
          <w:szCs w:val="28"/>
        </w:rPr>
        <w:t>]</w:t>
      </w:r>
      <w:r>
        <w:rPr>
          <w:rFonts w:hint="eastAsia"/>
          <w:color w:val="auto"/>
          <w:sz w:val="28"/>
          <w:szCs w:val="28"/>
          <w:lang w:val="en-US" w:eastAsia="zh-CN"/>
        </w:rPr>
        <w:t>73</w:t>
      </w:r>
      <w:r>
        <w:rPr>
          <w:rFonts w:hint="eastAsia"/>
          <w:color w:val="auto"/>
          <w:sz w:val="28"/>
          <w:szCs w:val="28"/>
        </w:rPr>
        <w:t>号）。</w:t>
      </w:r>
    </w:p>
    <w:p>
      <w:pPr>
        <w:spacing w:line="600" w:lineRule="exact"/>
        <w:ind w:firstLine="562" w:firstLineChars="200"/>
        <w:rPr>
          <w:b/>
          <w:bCs/>
          <w:sz w:val="28"/>
          <w:szCs w:val="28"/>
        </w:rPr>
      </w:pPr>
      <w:r>
        <w:rPr>
          <w:rFonts w:hint="eastAsia"/>
          <w:b/>
          <w:bCs/>
          <w:sz w:val="28"/>
          <w:szCs w:val="28"/>
        </w:rPr>
        <w:t>4.项目建设及进展情况</w:t>
      </w:r>
    </w:p>
    <w:p>
      <w:pPr>
        <w:spacing w:line="600" w:lineRule="exact"/>
        <w:ind w:firstLine="560" w:firstLineChars="200"/>
        <w:rPr>
          <w:color w:val="FF0000"/>
          <w:sz w:val="28"/>
          <w:szCs w:val="28"/>
        </w:rPr>
      </w:pPr>
      <w:r>
        <w:rPr>
          <w:rFonts w:hint="eastAsia"/>
          <w:color w:val="auto"/>
          <w:sz w:val="28"/>
          <w:szCs w:val="28"/>
        </w:rPr>
        <w:t>本项目于201</w:t>
      </w:r>
      <w:r>
        <w:rPr>
          <w:rFonts w:hint="eastAsia"/>
          <w:color w:val="auto"/>
          <w:sz w:val="28"/>
          <w:szCs w:val="28"/>
          <w:lang w:val="en-US" w:eastAsia="zh-CN"/>
        </w:rPr>
        <w:t>7</w:t>
      </w:r>
      <w:r>
        <w:rPr>
          <w:rFonts w:hint="eastAsia"/>
          <w:color w:val="auto"/>
          <w:sz w:val="28"/>
          <w:szCs w:val="28"/>
        </w:rPr>
        <w:t>年0</w:t>
      </w:r>
      <w:r>
        <w:rPr>
          <w:rFonts w:hint="eastAsia"/>
          <w:color w:val="auto"/>
          <w:sz w:val="28"/>
          <w:szCs w:val="28"/>
          <w:lang w:val="en-US" w:eastAsia="zh-CN"/>
        </w:rPr>
        <w:t>8</w:t>
      </w:r>
      <w:r>
        <w:rPr>
          <w:rFonts w:hint="eastAsia"/>
          <w:color w:val="auto"/>
          <w:sz w:val="28"/>
          <w:szCs w:val="28"/>
        </w:rPr>
        <w:t>月开工建设，计划2019年</w:t>
      </w:r>
      <w:r>
        <w:rPr>
          <w:rFonts w:hint="eastAsia"/>
          <w:color w:val="auto"/>
          <w:sz w:val="28"/>
          <w:szCs w:val="28"/>
          <w:lang w:val="en-US" w:eastAsia="zh-CN"/>
        </w:rPr>
        <w:t>12</w:t>
      </w:r>
      <w:r>
        <w:rPr>
          <w:rFonts w:hint="eastAsia"/>
          <w:color w:val="auto"/>
          <w:sz w:val="28"/>
          <w:szCs w:val="28"/>
        </w:rPr>
        <w:t>月31日全部完成并投入使用。</w:t>
      </w:r>
    </w:p>
    <w:p>
      <w:pPr>
        <w:spacing w:line="600" w:lineRule="exact"/>
        <w:ind w:firstLine="560" w:firstLineChars="200"/>
        <w:rPr>
          <w:color w:val="auto"/>
          <w:sz w:val="28"/>
          <w:szCs w:val="28"/>
        </w:rPr>
      </w:pPr>
      <w:r>
        <w:rPr>
          <w:rFonts w:hint="eastAsia"/>
          <w:color w:val="auto"/>
          <w:sz w:val="28"/>
          <w:szCs w:val="28"/>
        </w:rPr>
        <w:t>本项目已</w:t>
      </w:r>
      <w:r>
        <w:rPr>
          <w:rFonts w:hint="eastAsia"/>
          <w:color w:val="auto"/>
          <w:sz w:val="28"/>
          <w:szCs w:val="28"/>
          <w:lang w:eastAsia="zh-CN"/>
        </w:rPr>
        <w:t>接近尾声</w:t>
      </w:r>
      <w:r>
        <w:rPr>
          <w:rFonts w:hint="eastAsia"/>
          <w:color w:val="auto"/>
          <w:sz w:val="28"/>
          <w:szCs w:val="28"/>
        </w:rPr>
        <w:t>。</w:t>
      </w:r>
    </w:p>
    <w:p>
      <w:pPr>
        <w:spacing w:line="600" w:lineRule="exact"/>
        <w:ind w:firstLine="560" w:firstLineChars="200"/>
        <w:rPr>
          <w:color w:val="auto"/>
          <w:sz w:val="28"/>
          <w:szCs w:val="28"/>
        </w:rPr>
      </w:pPr>
      <w:r>
        <w:rPr>
          <w:rFonts w:hint="eastAsia"/>
          <w:color w:val="auto"/>
          <w:sz w:val="28"/>
          <w:szCs w:val="28"/>
        </w:rPr>
        <w:t>截止2019年0</w:t>
      </w:r>
      <w:r>
        <w:rPr>
          <w:rFonts w:hint="eastAsia"/>
          <w:color w:val="auto"/>
          <w:sz w:val="28"/>
          <w:szCs w:val="28"/>
          <w:lang w:val="en-US" w:eastAsia="zh-CN"/>
        </w:rPr>
        <w:t>1</w:t>
      </w:r>
      <w:r>
        <w:rPr>
          <w:rFonts w:hint="eastAsia"/>
          <w:color w:val="auto"/>
          <w:sz w:val="28"/>
          <w:szCs w:val="28"/>
        </w:rPr>
        <w:t>月</w:t>
      </w:r>
      <w:r>
        <w:rPr>
          <w:rFonts w:hint="eastAsia"/>
          <w:color w:val="auto"/>
          <w:sz w:val="28"/>
          <w:szCs w:val="28"/>
          <w:lang w:val="en-US" w:eastAsia="zh-CN"/>
        </w:rPr>
        <w:t>16</w:t>
      </w:r>
      <w:r>
        <w:rPr>
          <w:rFonts w:hint="eastAsia"/>
          <w:color w:val="auto"/>
          <w:sz w:val="28"/>
          <w:szCs w:val="28"/>
        </w:rPr>
        <w:t>日已完成投资</w:t>
      </w:r>
      <w:r>
        <w:rPr>
          <w:rFonts w:hint="eastAsia"/>
          <w:color w:val="auto"/>
          <w:sz w:val="28"/>
          <w:szCs w:val="28"/>
          <w:lang w:val="en-US" w:eastAsia="zh-CN"/>
        </w:rPr>
        <w:t>2593.00</w:t>
      </w:r>
      <w:r>
        <w:rPr>
          <w:rFonts w:hint="eastAsia"/>
          <w:color w:val="auto"/>
          <w:sz w:val="28"/>
          <w:szCs w:val="28"/>
        </w:rPr>
        <w:t>万元，占估算总投资的7</w:t>
      </w:r>
      <w:r>
        <w:rPr>
          <w:rFonts w:hint="eastAsia"/>
          <w:color w:val="auto"/>
          <w:sz w:val="28"/>
          <w:szCs w:val="28"/>
          <w:lang w:val="en-US" w:eastAsia="zh-CN"/>
        </w:rPr>
        <w:t>6</w:t>
      </w:r>
      <w:r>
        <w:rPr>
          <w:rFonts w:hint="eastAsia"/>
          <w:color w:val="auto"/>
          <w:sz w:val="28"/>
          <w:szCs w:val="28"/>
        </w:rPr>
        <w:t>.</w:t>
      </w:r>
      <w:r>
        <w:rPr>
          <w:rFonts w:hint="eastAsia"/>
          <w:color w:val="auto"/>
          <w:sz w:val="28"/>
          <w:szCs w:val="28"/>
          <w:lang w:val="en-US" w:eastAsia="zh-CN"/>
        </w:rPr>
        <w:t>76</w:t>
      </w:r>
      <w:r>
        <w:rPr>
          <w:rFonts w:hint="eastAsia"/>
          <w:color w:val="auto"/>
          <w:sz w:val="28"/>
          <w:szCs w:val="28"/>
        </w:rPr>
        <w:t>%。</w:t>
      </w:r>
    </w:p>
    <w:p>
      <w:pPr>
        <w:keepNext/>
        <w:keepLines/>
        <w:spacing w:line="600" w:lineRule="exact"/>
        <w:ind w:firstLine="562" w:firstLineChars="200"/>
        <w:outlineLvl w:val="1"/>
        <w:rPr>
          <w:b/>
          <w:bCs/>
          <w:sz w:val="28"/>
          <w:szCs w:val="28"/>
        </w:rPr>
      </w:pPr>
      <w:r>
        <w:rPr>
          <w:rFonts w:hint="eastAsia"/>
          <w:b/>
          <w:bCs/>
          <w:sz w:val="28"/>
          <w:szCs w:val="28"/>
        </w:rPr>
        <w:t>五、债券重大公开事项</w:t>
      </w:r>
    </w:p>
    <w:p>
      <w:pPr>
        <w:spacing w:line="600" w:lineRule="exact"/>
        <w:ind w:firstLine="560" w:firstLineChars="200"/>
        <w:rPr>
          <w:sz w:val="28"/>
          <w:szCs w:val="28"/>
        </w:rPr>
      </w:pPr>
      <w:r>
        <w:rPr>
          <w:rFonts w:hint="eastAsia"/>
          <w:sz w:val="28"/>
          <w:szCs w:val="28"/>
        </w:rPr>
        <w:t>截止2019年末，本单位所在债券资金使用地区未发生可能影响当地一般公共预算收入和政府性基金收入的重大事项。</w:t>
      </w:r>
    </w:p>
    <w:p>
      <w:pPr>
        <w:ind w:firstLine="5120" w:firstLineChars="1600"/>
        <w:jc w:val="lef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88F5967"/>
    <w:rsid w:val="003357C5"/>
    <w:rsid w:val="003E41F4"/>
    <w:rsid w:val="00A377DF"/>
    <w:rsid w:val="00DB1B9B"/>
    <w:rsid w:val="00E16DC7"/>
    <w:rsid w:val="027917EE"/>
    <w:rsid w:val="040A1C7B"/>
    <w:rsid w:val="06715A7D"/>
    <w:rsid w:val="09A234D8"/>
    <w:rsid w:val="0A1A30D9"/>
    <w:rsid w:val="0B986C17"/>
    <w:rsid w:val="0C0F056D"/>
    <w:rsid w:val="0D9E20FE"/>
    <w:rsid w:val="14C03686"/>
    <w:rsid w:val="188F5967"/>
    <w:rsid w:val="1AC742E7"/>
    <w:rsid w:val="1BBC4620"/>
    <w:rsid w:val="1DEB757A"/>
    <w:rsid w:val="20B15691"/>
    <w:rsid w:val="20CC1B05"/>
    <w:rsid w:val="29980582"/>
    <w:rsid w:val="2C8814BA"/>
    <w:rsid w:val="2F1E308E"/>
    <w:rsid w:val="30272E1E"/>
    <w:rsid w:val="308F21CA"/>
    <w:rsid w:val="35BA0A45"/>
    <w:rsid w:val="3E146B89"/>
    <w:rsid w:val="487D6F29"/>
    <w:rsid w:val="49F020B7"/>
    <w:rsid w:val="4D577594"/>
    <w:rsid w:val="4D6B1C79"/>
    <w:rsid w:val="51AB659B"/>
    <w:rsid w:val="52216DF2"/>
    <w:rsid w:val="5765243E"/>
    <w:rsid w:val="5AC405EC"/>
    <w:rsid w:val="6004472F"/>
    <w:rsid w:val="606F3A78"/>
    <w:rsid w:val="61A54AE7"/>
    <w:rsid w:val="67AB00E6"/>
    <w:rsid w:val="6AD477E7"/>
    <w:rsid w:val="6B7A2C06"/>
    <w:rsid w:val="727B713A"/>
    <w:rsid w:val="73C7269E"/>
    <w:rsid w:val="77807F8A"/>
    <w:rsid w:val="78C544DA"/>
    <w:rsid w:val="7A3C303A"/>
    <w:rsid w:val="7B787148"/>
    <w:rsid w:val="7D034E05"/>
    <w:rsid w:val="7D0D06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jc w:val="center"/>
      <w:outlineLvl w:val="0"/>
    </w:pPr>
    <w:rPr>
      <w:b/>
      <w:kern w:val="44"/>
      <w:sz w:val="36"/>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0"/>
    <w:rPr>
      <w:rFonts w:asciiTheme="minorHAnsi" w:hAnsiTheme="minorHAnsi" w:eastAsiaTheme="minorEastAsia" w:cstheme="minorBidi"/>
      <w:kern w:val="2"/>
      <w:sz w:val="18"/>
      <w:szCs w:val="18"/>
    </w:rPr>
  </w:style>
  <w:style w:type="character" w:customStyle="1" w:styleId="9">
    <w:name w:val="页脚 Char"/>
    <w:basedOn w:val="7"/>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230</Words>
  <Characters>1316</Characters>
  <Lines>10</Lines>
  <Paragraphs>3</Paragraphs>
  <TotalTime>186</TotalTime>
  <ScaleCrop>false</ScaleCrop>
  <LinksUpToDate>false</LinksUpToDate>
  <CharactersWithSpaces>1543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2020-06-10T02:19:00Z</dcterms:created>
  <dc:creator>赵巍</dc:creator>
  <cp:lastModifiedBy>Administrator</cp:lastModifiedBy>
  <cp:lastPrinted>2020-06-11T01:25:00Z</cp:lastPrinted>
  <dcterms:modified xsi:type="dcterms:W3CDTF">2020-07-01T02:01:24Z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