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关于曲沃县201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年财政决算及</w:t>
      </w:r>
    </w:p>
    <w:p>
      <w:pPr>
        <w:widowControl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年上半年财政预算执行情况的报告</w:t>
      </w:r>
    </w:p>
    <w:p>
      <w:pPr>
        <w:widowControl w:val="0"/>
        <w:snapToGrid w:val="0"/>
        <w:spacing w:line="240" w:lineRule="auto"/>
        <w:jc w:val="center"/>
        <w:rPr>
          <w:rFonts w:hint="eastAsia" w:ascii="楷体_GB2312" w:hAnsi="华文楷体" w:eastAsia="楷体_GB2312" w:cs="方正楷体简体"/>
          <w:color w:val="auto"/>
          <w:sz w:val="32"/>
          <w:szCs w:val="32"/>
        </w:rPr>
      </w:pPr>
    </w:p>
    <w:p>
      <w:pPr>
        <w:widowControl w:val="0"/>
        <w:snapToGrid w:val="0"/>
        <w:spacing w:line="240" w:lineRule="auto"/>
        <w:jc w:val="center"/>
        <w:rPr>
          <w:rFonts w:hint="eastAsia" w:ascii="楷体" w:hAnsi="楷体" w:eastAsia="楷体" w:cs="方正楷体简体"/>
          <w:color w:val="auto"/>
          <w:sz w:val="32"/>
          <w:szCs w:val="32"/>
        </w:rPr>
      </w:pPr>
      <w:r>
        <w:rPr>
          <w:rFonts w:hint="eastAsia" w:ascii="楷体" w:hAnsi="楷体" w:eastAsia="楷体" w:cs="方正楷体简体"/>
          <w:color w:val="auto"/>
          <w:sz w:val="32"/>
          <w:szCs w:val="32"/>
        </w:rPr>
        <w:t>—— 20</w:t>
      </w:r>
      <w:r>
        <w:rPr>
          <w:rFonts w:hint="eastAsia" w:ascii="楷体" w:hAnsi="楷体" w:eastAsia="楷体" w:cs="方正楷体简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方正楷体简体"/>
          <w:color w:val="auto"/>
          <w:sz w:val="32"/>
          <w:szCs w:val="32"/>
        </w:rPr>
        <w:t>年</w:t>
      </w:r>
      <w:r>
        <w:rPr>
          <w:rFonts w:hint="eastAsia" w:ascii="楷体" w:hAnsi="楷体" w:eastAsia="楷体" w:cs="方正楷体简体"/>
          <w:color w:val="auto"/>
          <w:sz w:val="32"/>
          <w:szCs w:val="32"/>
          <w:lang w:val="en-US" w:eastAsia="zh-CN"/>
        </w:rPr>
        <w:t>7</w:t>
      </w:r>
      <w:r>
        <w:rPr>
          <w:rFonts w:hint="eastAsia" w:ascii="楷体" w:hAnsi="楷体" w:eastAsia="楷体" w:cs="方正楷体简体"/>
          <w:color w:val="auto"/>
          <w:sz w:val="32"/>
          <w:szCs w:val="32"/>
        </w:rPr>
        <w:t>月</w:t>
      </w:r>
      <w:r>
        <w:rPr>
          <w:rFonts w:hint="eastAsia" w:ascii="楷体" w:hAnsi="楷体" w:eastAsia="楷体" w:cs="方正楷体简体"/>
          <w:color w:val="auto"/>
          <w:sz w:val="32"/>
          <w:szCs w:val="32"/>
          <w:lang w:val="en-US" w:eastAsia="zh-CN"/>
        </w:rPr>
        <w:t>24</w:t>
      </w:r>
      <w:r>
        <w:rPr>
          <w:rFonts w:hint="eastAsia" w:ascii="楷体" w:hAnsi="楷体" w:eastAsia="楷体" w:cs="方正楷体简体"/>
          <w:color w:val="auto"/>
          <w:sz w:val="32"/>
          <w:szCs w:val="32"/>
        </w:rPr>
        <w:t>日在曲沃县第</w:t>
      </w:r>
      <w:r>
        <w:rPr>
          <w:rFonts w:hint="eastAsia" w:ascii="楷体" w:hAnsi="楷体" w:eastAsia="楷体" w:cs="方正楷体简体"/>
          <w:color w:val="auto"/>
          <w:sz w:val="32"/>
          <w:szCs w:val="32"/>
          <w:lang w:eastAsia="zh-CN"/>
        </w:rPr>
        <w:t>十六</w:t>
      </w:r>
      <w:r>
        <w:rPr>
          <w:rFonts w:hint="eastAsia" w:ascii="楷体" w:hAnsi="楷体" w:eastAsia="楷体" w:cs="方正楷体简体"/>
          <w:color w:val="auto"/>
          <w:sz w:val="32"/>
          <w:szCs w:val="32"/>
        </w:rPr>
        <w:t>届人民代表大会</w:t>
      </w:r>
    </w:p>
    <w:p>
      <w:pPr>
        <w:widowControl w:val="0"/>
        <w:snapToGrid w:val="0"/>
        <w:spacing w:line="240" w:lineRule="auto"/>
        <w:jc w:val="center"/>
        <w:rPr>
          <w:rFonts w:hint="eastAsia" w:ascii="楷体" w:hAnsi="楷体" w:eastAsia="楷体" w:cs="方正楷体简体"/>
          <w:color w:val="auto"/>
          <w:sz w:val="32"/>
          <w:szCs w:val="32"/>
        </w:rPr>
      </w:pPr>
      <w:r>
        <w:rPr>
          <w:rFonts w:hint="eastAsia" w:ascii="楷体" w:hAnsi="楷体" w:eastAsia="楷体" w:cs="方正楷体简体"/>
          <w:color w:val="auto"/>
          <w:sz w:val="32"/>
          <w:szCs w:val="32"/>
        </w:rPr>
        <w:t>常务委员会第</w:t>
      </w:r>
      <w:r>
        <w:rPr>
          <w:rFonts w:hint="eastAsia" w:ascii="楷体" w:hAnsi="楷体" w:eastAsia="楷体" w:cs="方正楷体简体"/>
          <w:color w:val="auto"/>
          <w:sz w:val="32"/>
          <w:szCs w:val="32"/>
          <w:lang w:eastAsia="zh-CN"/>
        </w:rPr>
        <w:t>三十三</w:t>
      </w:r>
      <w:r>
        <w:rPr>
          <w:rFonts w:hint="eastAsia" w:ascii="楷体" w:hAnsi="楷体" w:eastAsia="楷体" w:cs="方正楷体简体"/>
          <w:color w:val="auto"/>
          <w:sz w:val="32"/>
          <w:szCs w:val="32"/>
        </w:rPr>
        <w:t>次会议上</w:t>
      </w:r>
    </w:p>
    <w:p>
      <w:pPr>
        <w:widowControl w:val="0"/>
        <w:spacing w:line="240" w:lineRule="auto"/>
        <w:rPr>
          <w:rFonts w:hint="eastAsia" w:ascii="楷体_GB2312" w:hAnsi="黑体" w:eastAsia="楷体_GB2312"/>
          <w:color w:val="auto"/>
          <w:sz w:val="32"/>
          <w:szCs w:val="32"/>
        </w:rPr>
      </w:pPr>
    </w:p>
    <w:p>
      <w:pPr>
        <w:widowControl w:val="0"/>
        <w:spacing w:line="240" w:lineRule="auto"/>
        <w:jc w:val="center"/>
        <w:rPr>
          <w:rFonts w:hint="eastAsia"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曲沃县财政局局长   丁全保</w:t>
      </w:r>
    </w:p>
    <w:p>
      <w:pPr>
        <w:widowControl w:val="0"/>
        <w:spacing w:line="240" w:lineRule="auto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widowControl w:val="0"/>
        <w:spacing w:line="240" w:lineRule="auto"/>
        <w:rPr>
          <w:rFonts w:hint="eastAsia" w:ascii="仿宋_GB2312" w:hAnsi="仿宋" w:eastAsia="仿宋_GB2312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主任、副主任、各位委员：</w:t>
      </w:r>
    </w:p>
    <w:p>
      <w:pPr>
        <w:ind w:firstLine="640"/>
        <w:rPr>
          <w:rFonts w:hint="eastAsia" w:ascii="仿宋_GB2312" w:hAnsi="仿宋" w:eastAsia="仿宋_GB2312"/>
          <w:color w:val="auto"/>
          <w:sz w:val="32"/>
          <w:szCs w:val="32"/>
          <w:u w:val="none" w:color="auto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受县人民政府委托，我向本次会议报告全县201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年财政决算和20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年上半年财政预算执行情况，</w:t>
      </w:r>
      <w:r>
        <w:rPr>
          <w:rFonts w:hint="eastAsia" w:ascii="仿宋_GB2312" w:hAnsi="仿宋" w:eastAsia="仿宋_GB2312"/>
          <w:color w:val="auto"/>
          <w:sz w:val="32"/>
          <w:szCs w:val="32"/>
          <w:u w:val="none" w:color="auto"/>
        </w:rPr>
        <w:t>请予审议。</w:t>
      </w:r>
    </w:p>
    <w:p>
      <w:pPr>
        <w:ind w:firstLine="640" w:firstLineChars="200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一、201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color w:val="auto"/>
          <w:sz w:val="32"/>
          <w:szCs w:val="32"/>
        </w:rPr>
        <w:t>年财政决算情况</w:t>
      </w:r>
    </w:p>
    <w:p>
      <w:pPr>
        <w:pStyle w:val="5"/>
        <w:widowControl w:val="0"/>
        <w:shd w:val="clear" w:color="auto" w:fill="FFFFFF"/>
        <w:spacing w:before="0" w:beforeAutospacing="0" w:after="0" w:afterAutospacing="0"/>
        <w:ind w:firstLine="565" w:firstLineChars="176"/>
        <w:jc w:val="both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sz w:val="32"/>
        </w:rPr>
        <w:t>（一）</w:t>
      </w:r>
      <w:r>
        <w:rPr>
          <w:rFonts w:hint="eastAsia" w:ascii="楷体" w:hAnsi="楷体" w:eastAsia="楷体"/>
          <w:b/>
          <w:bCs/>
          <w:sz w:val="32"/>
          <w:szCs w:val="32"/>
        </w:rPr>
        <w:t>当年收入完成情况</w:t>
      </w:r>
    </w:p>
    <w:p>
      <w:pPr>
        <w:widowControl w:val="0"/>
        <w:shd w:val="clear" w:color="auto" w:fill="FFFFFF"/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年，全县一般公共预算收入完成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42882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41497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103.34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 xml:space="preserve"> ,同比增长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。其中：税收收入完成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32823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万元，非税收入完成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10059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万元。</w:t>
      </w:r>
    </w:p>
    <w:p>
      <w:pPr>
        <w:widowControl w:val="0"/>
        <w:shd w:val="clear" w:color="auto" w:fill="FFFFFF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主要税种完成情况为：增值税完成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14942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18605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80.31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%，同比下降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14.12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%；企业所得税完成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3224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167.22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%，同比增长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78.91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%；个人所得税完成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392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62.22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33.45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资源税完成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595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105.31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%，同比增长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%；城建税完成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4134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4376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94.47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房产税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84.31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%，同比下降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%；印花税完成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152.71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63.44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%；城镇土地使用税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3611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60.29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35.48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税完成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684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56.02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40.05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；环境保护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税完成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1068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155.99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67.1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</w:p>
    <w:p>
      <w:pPr>
        <w:widowControl w:val="0"/>
        <w:shd w:val="clear" w:color="auto" w:fill="FFFFFF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主要非税收入完成情况为：专项收入完成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3773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4868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77.51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%，同比增长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23.26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%；行政事业性收费收入完成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1292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430.67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%，同比增长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22.93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%；罚没收入完成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4486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897.2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%，同比增长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467.13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%。</w:t>
      </w:r>
    </w:p>
    <w:p>
      <w:pPr>
        <w:widowControl w:val="0"/>
        <w:shd w:val="clear" w:color="auto" w:fill="FFFFFF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年全县政府性基金收入完成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19729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14106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139.86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%。</w:t>
      </w:r>
    </w:p>
    <w:p>
      <w:pPr>
        <w:widowControl w:val="0"/>
        <w:shd w:val="clear" w:color="auto" w:fill="FFFFFF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年全县社会保险基金收入完成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38653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万元,为预算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49770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77.66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240" w:lineRule="auto"/>
        <w:ind w:firstLine="565" w:firstLineChars="176"/>
        <w:jc w:val="both"/>
        <w:rPr>
          <w:rFonts w:hint="eastAsia" w:ascii="楷体" w:hAnsi="楷体" w:eastAsia="楷体"/>
          <w:b/>
          <w:sz w:val="32"/>
          <w:lang w:val="zh-CN"/>
        </w:rPr>
      </w:pPr>
      <w:r>
        <w:rPr>
          <w:rFonts w:hint="eastAsia" w:ascii="楷体" w:hAnsi="楷体" w:eastAsia="楷体"/>
          <w:b/>
          <w:sz w:val="32"/>
          <w:lang w:val="zh-CN"/>
        </w:rPr>
        <w:t>（二）当年支出执行情况</w:t>
      </w:r>
    </w:p>
    <w:p>
      <w:pPr>
        <w:widowControl w:val="0"/>
        <w:shd w:val="clear" w:color="auto" w:fill="FFFFFF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年全县一般公共预算支出预算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186519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万元，全年一般公共预算支出实际执行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186483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万元，实际支出为调整预算的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99.98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141487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44996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%。其中：一般公共服务支出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16424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13609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20.68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%；公共安全支出8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%；教育支出2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9303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24446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19.87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%；文化体育与传媒支出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4953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万元,比上年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4464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10.95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 ；科学技术支出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20.66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%；社会保障和就业支出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27385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26375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%；卫生健康支出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28293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21330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32.64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%；节能环保支出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13665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4105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232.89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%；城乡社区支出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11301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8219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37.5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%；农林水支出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19771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18524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%；交通运输支出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2459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37.58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资源勘探信息等支出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12558万元，比上年1269万元增长889.6%；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自然资源海洋气象等支出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22.65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%；住房保障支出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3275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万元，比上年30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9万元增长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7.41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%。</w:t>
      </w:r>
    </w:p>
    <w:p>
      <w:pPr>
        <w:widowControl w:val="0"/>
        <w:shd w:val="clear" w:color="auto" w:fill="FFFFFF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年全县政府性基金支出执行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22428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22480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99.77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%。</w:t>
      </w:r>
    </w:p>
    <w:p>
      <w:pPr>
        <w:widowControl w:val="0"/>
        <w:shd w:val="clear" w:color="auto" w:fill="FFFFFF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年全县社会保险基金支出执行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43952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47839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91.87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%。</w:t>
      </w:r>
    </w:p>
    <w:p>
      <w:pPr>
        <w:widowControl w:val="0"/>
        <w:shd w:val="clear" w:color="auto" w:fill="FFFFFF"/>
        <w:overflowPunct w:val="0"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经汇总，201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年全县“三公”经费支出执行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663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万元，为预算的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71.6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%，其中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公务接待费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万元，为预算的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85.78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%；公务用车购置及运行维护费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万元，为预算的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67.41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%。</w:t>
      </w:r>
    </w:p>
    <w:p>
      <w:pPr>
        <w:widowControl w:val="0"/>
        <w:spacing w:line="240" w:lineRule="auto"/>
        <w:ind w:firstLine="630" w:firstLineChars="196"/>
        <w:rPr>
          <w:rFonts w:hint="eastAsia"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（三）当年收支平衡情况</w:t>
      </w:r>
    </w:p>
    <w:p>
      <w:pPr>
        <w:widowControl w:val="0"/>
        <w:shd w:val="clear" w:color="auto" w:fill="FFFFFF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年全县总收入为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198569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164545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万元增加了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34024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20.68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%。其资金构成为：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一般公共预算收入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42882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万元，返还性收入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3032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万元，一般性转移支付收入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92038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，专项转移支付收入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36734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万元，债务转贷收入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万元，调入预算稳定调节基金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14556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万元，调入资金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万元，上年结余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年总支出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198569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164545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34024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20.68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%。其中：201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年全县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一般公共预算支出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186483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万元，上解上级支出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万元，债券还本支出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万元，安排预算稳定调节基金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万元，结转下年使用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总收入与总支出相抵，实现当年收支平衡。</w:t>
      </w:r>
    </w:p>
    <w:p>
      <w:pPr>
        <w:widowControl w:val="0"/>
        <w:spacing w:line="240" w:lineRule="auto"/>
        <w:ind w:firstLine="639"/>
        <w:rPr>
          <w:rFonts w:hint="eastAsia"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（四）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  <w:lang w:val="zh-CN"/>
        </w:rPr>
        <w:t>全县地方债务情况</w:t>
      </w:r>
    </w:p>
    <w:p>
      <w:pPr>
        <w:widowControl w:val="0"/>
        <w:shd w:val="clear" w:color="auto" w:fill="FFFFFF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lang w:val="zh-CN"/>
        </w:rPr>
        <w:t>截止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年底，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zh-CN"/>
        </w:rPr>
        <w:t>全县地方政府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债务余额为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43984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万元，比年初余额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3919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,在市财政局核定的49827万元限额范围内。</w:t>
      </w:r>
    </w:p>
    <w:p>
      <w:pPr>
        <w:widowControl w:val="0"/>
        <w:shd w:val="clear" w:color="auto" w:fill="FFFFFF"/>
        <w:spacing w:line="240" w:lineRule="auto"/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二、20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color w:val="auto"/>
          <w:sz w:val="32"/>
          <w:szCs w:val="32"/>
        </w:rPr>
        <w:t>年上半年财政预算执行情况</w:t>
      </w:r>
    </w:p>
    <w:p>
      <w:pPr>
        <w:widowControl w:val="0"/>
        <w:spacing w:line="240" w:lineRule="auto"/>
        <w:ind w:firstLine="639"/>
        <w:rPr>
          <w:rFonts w:hint="eastAsia" w:ascii="楷体" w:hAnsi="楷体" w:eastAsia="楷体" w:cs="宋体"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（一）预算收入情况</w:t>
      </w:r>
    </w:p>
    <w:p>
      <w:pPr>
        <w:widowControl w:val="0"/>
        <w:spacing w:line="240" w:lineRule="auto"/>
        <w:ind w:firstLine="645"/>
        <w:rPr>
          <w:rFonts w:hint="eastAsia"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sz w:val="32"/>
          <w:szCs w:val="32"/>
        </w:rPr>
        <w:t>截至6月底，全县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一般公共预算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收入完成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22247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万元，为预算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43740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万元的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50.86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%。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其中：税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收收入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完成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18002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万元，为预算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36240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万元的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49.67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%；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非税收入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完成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4245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万元，为预算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7500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万元的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56.6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%。</w:t>
      </w:r>
    </w:p>
    <w:p>
      <w:pPr>
        <w:widowControl w:val="0"/>
        <w:spacing w:line="240" w:lineRule="auto"/>
        <w:ind w:firstLine="645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政府性基金收入完成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9997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万元,为预算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26650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万元的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37.51</w:t>
      </w:r>
      <w:r>
        <w:rPr>
          <w:rFonts w:hint="eastAsia" w:ascii="仿宋_GB2312" w:hAnsi="仿宋" w:eastAsia="仿宋_GB2312"/>
          <w:color w:val="auto"/>
          <w:sz w:val="32"/>
          <w:szCs w:val="32"/>
          <w:u w:val="none" w:color="auto"/>
        </w:rPr>
        <w:t>%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widowControl w:val="0"/>
        <w:spacing w:line="240" w:lineRule="auto"/>
        <w:ind w:firstLine="645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none" w:color="auto"/>
        </w:rPr>
        <w:t>社会保险基金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收入完成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18621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万元，为预算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34346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万元的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54.22</w:t>
      </w:r>
      <w:r>
        <w:rPr>
          <w:rFonts w:hint="eastAsia" w:ascii="仿宋_GB2312" w:hAnsi="仿宋" w:eastAsia="仿宋_GB2312"/>
          <w:color w:val="auto"/>
          <w:sz w:val="32"/>
          <w:szCs w:val="32"/>
          <w:u w:val="none" w:color="auto"/>
        </w:rPr>
        <w:t>%，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同比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增长25.96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%</w:t>
      </w:r>
      <w:r>
        <w:rPr>
          <w:rFonts w:hint="eastAsia" w:ascii="仿宋_GB2312" w:hAnsi="仿宋" w:eastAsia="仿宋_GB2312"/>
          <w:color w:val="auto"/>
          <w:sz w:val="32"/>
          <w:szCs w:val="32"/>
          <w:u w:val="none" w:color="auto"/>
        </w:rPr>
        <w:t>。</w:t>
      </w:r>
    </w:p>
    <w:p>
      <w:pPr>
        <w:widowControl w:val="0"/>
        <w:shd w:val="clear" w:color="auto" w:fill="FFFFFF"/>
        <w:spacing w:line="240" w:lineRule="auto"/>
        <w:ind w:firstLine="640"/>
        <w:rPr>
          <w:rFonts w:hint="eastAsia" w:ascii="楷体" w:hAnsi="楷体" w:eastAsia="楷体" w:cs="宋体"/>
          <w:b/>
          <w:color w:val="auto"/>
          <w:sz w:val="32"/>
          <w:szCs w:val="32"/>
        </w:rPr>
      </w:pPr>
      <w:r>
        <w:rPr>
          <w:rFonts w:hint="eastAsia" w:ascii="楷体" w:hAnsi="楷体" w:eastAsia="楷体" w:cs="宋体"/>
          <w:b/>
          <w:color w:val="auto"/>
          <w:sz w:val="32"/>
          <w:szCs w:val="32"/>
        </w:rPr>
        <w:t>（二）预算支出情况</w:t>
      </w:r>
    </w:p>
    <w:p>
      <w:pPr>
        <w:widowControl w:val="0"/>
        <w:shd w:val="clear" w:color="auto" w:fill="FFFFFF"/>
        <w:spacing w:line="240" w:lineRule="auto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sz w:val="32"/>
          <w:szCs w:val="32"/>
        </w:rPr>
        <w:t>截至6月底，全县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一般公共预算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支出执行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81084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万元，占调整预算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160914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万元的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50.39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%，与上年同期相比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6.25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%，实现了时间、支出任务的双过半。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主要支出项目：一般公共服务支出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7371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%；公共安全支出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3670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%；教育支出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13303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%；科学技术支出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27.96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%；文化旅游体育与传媒支出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%；社会保障就业支出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20042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14.61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%；卫生健康支出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17274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7.59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%；节能环保支出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1474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42.26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%；城乡社区支出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5068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15.58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%；农林水支出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4635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%；交通运输支出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9257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513.05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%；自然资源海洋气象等支出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94.15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%；资源勘探信息等支出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98.02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</w:p>
    <w:p>
      <w:pPr>
        <w:widowControl w:val="0"/>
        <w:spacing w:line="240" w:lineRule="auto"/>
        <w:ind w:firstLine="646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政府性基金预算支出执行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7733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万元，为年初预算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30821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25.09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69.84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</w:p>
    <w:p>
      <w:pPr>
        <w:widowControl w:val="0"/>
        <w:spacing w:line="240" w:lineRule="auto"/>
        <w:ind w:firstLine="646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社会保险基金</w:t>
      </w:r>
      <w:r>
        <w:rPr>
          <w:rFonts w:hint="eastAsia" w:ascii="仿宋_GB2312" w:eastAsia="仿宋_GB2312"/>
          <w:color w:val="auto"/>
          <w:sz w:val="32"/>
          <w:szCs w:val="32"/>
        </w:rPr>
        <w:t>支出执行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21585</w:t>
      </w:r>
      <w:r>
        <w:rPr>
          <w:rFonts w:hint="eastAsia" w:ascii="仿宋_GB2312" w:eastAsia="仿宋_GB2312"/>
          <w:color w:val="auto"/>
          <w:sz w:val="32"/>
          <w:szCs w:val="32"/>
        </w:rPr>
        <w:t>万元，为预算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49316</w:t>
      </w:r>
      <w:r>
        <w:rPr>
          <w:rFonts w:hint="eastAsia" w:ascii="仿宋_GB2312" w:eastAsia="仿宋_GB2312"/>
          <w:color w:val="auto"/>
          <w:sz w:val="32"/>
          <w:szCs w:val="32"/>
        </w:rPr>
        <w:t>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43.77</w:t>
      </w:r>
      <w:r>
        <w:rPr>
          <w:rFonts w:hint="eastAsia" w:ascii="仿宋_GB2312" w:eastAsia="仿宋_GB2312"/>
          <w:color w:val="auto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widowControl w:val="0"/>
        <w:spacing w:line="240" w:lineRule="auto"/>
        <w:ind w:firstLine="646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截至6月底，全县“三公”经费支出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48</w:t>
      </w:r>
      <w:r>
        <w:rPr>
          <w:rFonts w:hint="eastAsia" w:ascii="仿宋_GB2312" w:eastAsia="仿宋_GB2312"/>
          <w:color w:val="auto"/>
          <w:sz w:val="32"/>
          <w:szCs w:val="32"/>
        </w:rPr>
        <w:t>万元，占年初预算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924</w:t>
      </w:r>
      <w:r>
        <w:rPr>
          <w:rFonts w:hint="eastAsia" w:ascii="仿宋_GB2312" w:eastAsia="仿宋_GB2312"/>
          <w:color w:val="auto"/>
          <w:sz w:val="32"/>
          <w:szCs w:val="32"/>
        </w:rPr>
        <w:t>万元的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5.19</w:t>
      </w:r>
      <w:r>
        <w:rPr>
          <w:rFonts w:hint="eastAsia"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widowControl w:val="0"/>
        <w:shd w:val="clear" w:color="auto" w:fill="FFFFFF"/>
        <w:spacing w:line="240" w:lineRule="auto"/>
        <w:ind w:firstLine="643" w:firstLineChars="200"/>
        <w:rPr>
          <w:rFonts w:hint="eastAsia" w:ascii="楷体" w:hAnsi="楷体" w:eastAsia="楷体" w:cs="宋体"/>
          <w:b/>
          <w:color w:val="auto"/>
          <w:sz w:val="32"/>
          <w:szCs w:val="32"/>
        </w:rPr>
      </w:pPr>
      <w:r>
        <w:rPr>
          <w:rFonts w:hint="eastAsia" w:ascii="楷体" w:hAnsi="楷体" w:eastAsia="楷体" w:cs="宋体"/>
          <w:b/>
          <w:color w:val="auto"/>
          <w:sz w:val="32"/>
          <w:szCs w:val="32"/>
        </w:rPr>
        <w:t>（三）预算执行主要特点和存在问题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全县财政预算执行情况总体良好，但也面临一些矛盾和问题，主要表现为：</w:t>
      </w:r>
    </w:p>
    <w:p>
      <w:pPr>
        <w:bidi w:val="0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财政收入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增速趋缓。今年以来，受疫情影响，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企业停摆，生产经营跌入低谷，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重点企业效益下滑，</w:t>
      </w:r>
      <w:r>
        <w:rPr>
          <w:rFonts w:hint="eastAsia" w:ascii="仿宋_GB2312" w:hAnsi="仿宋_GB2312" w:eastAsia="仿宋_GB2312" w:cs="仿宋_GB2312"/>
          <w:sz w:val="32"/>
          <w:szCs w:val="32"/>
        </w:rPr>
        <w:t>给组织收入带来较大影响，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全年财政收入不确定性加大。</w:t>
      </w:r>
    </w:p>
    <w:p>
      <w:pPr>
        <w:bidi w:val="0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矛盾突出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。一方面要全力保障突如其来的疫情防控支出，另一方面</w:t>
      </w:r>
      <w:r>
        <w:rPr>
          <w:rFonts w:hint="eastAsia" w:ascii="仿宋_GB2312" w:hAnsi="仿宋_GB2312" w:eastAsia="仿宋_GB2312" w:cs="仿宋_GB2312"/>
          <w:sz w:val="32"/>
          <w:szCs w:val="32"/>
        </w:rPr>
        <w:t>巩固脱贫攻坚成果、保运转、保基本民生、促发展等刚性支出压力增加，刚性需求不断增多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财政保障能力有待提高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bidi w:val="0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过“紧日子”的意识还需强化，预算编制的科学性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需进一步加强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，绩效管理基础需进一步夯实，财政管理的科学化、精细化水平还有待进一步提高。对此，我们将进一步增强忧患意识和责任意识，切实采取有效措施逐步加以解决。</w:t>
      </w:r>
    </w:p>
    <w:p>
      <w:pPr>
        <w:widowControl w:val="0"/>
        <w:shd w:val="clear" w:color="auto" w:fill="FFFFFF"/>
        <w:spacing w:line="240" w:lineRule="auto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三、下半年财政工作重点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下半年，财政局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将全面贯彻落实县委、县政府的各项决策部署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，全面做好“六稳”工作，落实“六保”任务，统筹做好疫情防控，维护经济社会发展稳定大局。</w:t>
      </w:r>
      <w:r>
        <w:rPr>
          <w:rFonts w:hint="eastAsia" w:ascii="仿宋_GB2312" w:eastAsia="仿宋_GB2312"/>
          <w:sz w:val="32"/>
          <w:szCs w:val="32"/>
        </w:rPr>
        <w:t>我们将重点做好以下几方面工作：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3" w:firstLineChars="200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（一）坚持科学理财</w:t>
      </w:r>
      <w:r>
        <w:rPr>
          <w:rFonts w:hint="eastAsia" w:ascii="楷体_GB2312" w:eastAsia="楷体_GB2312"/>
          <w:b/>
          <w:bCs/>
          <w:sz w:val="32"/>
          <w:szCs w:val="32"/>
        </w:rPr>
        <w:t>，全力以赴保持财政稳健运行。</w:t>
      </w:r>
      <w:r>
        <w:rPr>
          <w:rFonts w:hint="eastAsia" w:ascii="仿宋_GB2312" w:eastAsia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努</w:t>
      </w:r>
      <w:r>
        <w:rPr>
          <w:rFonts w:hint="eastAsia" w:ascii="仿宋_GB2312" w:eastAsia="仿宋_GB2312"/>
          <w:b w:val="0"/>
          <w:bCs/>
          <w:sz w:val="32"/>
          <w:szCs w:val="32"/>
        </w:rPr>
        <w:t>力实现预期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收入</w:t>
      </w:r>
      <w:r>
        <w:rPr>
          <w:rFonts w:hint="eastAsia" w:ascii="仿宋_GB2312" w:eastAsia="仿宋_GB2312"/>
          <w:b w:val="0"/>
          <w:bCs/>
          <w:sz w:val="32"/>
          <w:szCs w:val="32"/>
        </w:rPr>
        <w:t>目标。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克服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和减税降费</w:t>
      </w:r>
      <w:r>
        <w:rPr>
          <w:rFonts w:hint="eastAsia" w:ascii="仿宋_GB2312" w:hAnsi="仿宋_GB2312" w:eastAsia="仿宋_GB2312" w:cs="仿宋_GB2312"/>
          <w:sz w:val="32"/>
          <w:szCs w:val="32"/>
        </w:rPr>
        <w:t>对组织收入带来的不利影响，强化管理，确保各项税收应收尽收；严格非税收入执收部门征缴责任，确保非税收入均衡入库，促进财政收入平稳增长。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严格支出预算管理。紧紧围绕全县经济、社会发展大局，开源节流、有保有压、统筹协调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持续调整优化支出结构，全面压缩一般性支出，“三公经费”只减不增，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优先保障和支持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疫情防控、“</w:t>
      </w:r>
      <w:r>
        <w:rPr>
          <w:rFonts w:hint="eastAsia" w:ascii="仿宋_GB2312" w:hAnsi="仿宋_GB2312" w:eastAsia="仿宋_GB2312" w:cs="仿宋_GB2312"/>
          <w:sz w:val="32"/>
          <w:szCs w:val="32"/>
        </w:rPr>
        <w:t>三大攻坚战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、乡村振兴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就业创业等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3" w:firstLineChars="200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（二）坚持统筹协调，尽心尽力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服务高质量转型发展。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巩固减税降费政策成果，不断完善政策落实举措，持续降低企业负担。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发挥财政资金和政策的引导作用，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协助相关单位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积极筹划项目申报，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大力</w:t>
      </w:r>
      <w:r>
        <w:rPr>
          <w:rFonts w:hint="eastAsia" w:ascii="仿宋_GB2312" w:hAnsi="仿宋_GB2312" w:eastAsia="仿宋_GB2312" w:cs="仿宋_GB2312"/>
          <w:sz w:val="32"/>
          <w:szCs w:val="32"/>
        </w:rPr>
        <w:t>争取上级专项资金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，促进我县经济持续健康发展。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债券争取力度，为全县项目建设提供更多财力支持。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3" w:firstLineChars="200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（三）坚持民生优先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，一以贯之增强和改善民生福祉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决战完胜脱贫攻坚。筹措专项资金，加大投入力度，支持全县脱贫攻坚决战完胜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加强财政扶贫资金监管，强化绩效管理，提高资金效益。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推进生态文明建设。支持做好清洁取暖和工业企业超低排放工作，加强对重点行业土壤污染和农村面源污染治理，坚决打好蓝天保卫战、碧水保卫战、净土保卫战。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落实就业优先政策。积极向上争取支持，保障就业资金持续稳定投入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统筹做好城镇失业人员、退役军人、高校毕业生等群体就业工作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支持实施“人人持证、技能社会”工程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支持教育高质量发展。优化支出结构，财政投入向教育基本公共服务、教师队伍、薄弱环节倾斜。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强化医疗卫生保障。巩固提升县域综合医改成果，继续做好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县乡两级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医院的药品销售的核实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及财政补助资金的拨付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3" w:firstLineChars="200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坚持深化改革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，持之以恒提升财政管理效能。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完善预算管理制度。强化预算执行动态监控，加快预算执行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继续压缩一般性支出，盘活存量资金，做好财政节支工作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；持续深化政府采购改革，进一步强化、夯实采购人主体责任，建立采购人对采购结果负责的新型采购人制度；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加强项目预算评审，严格入库项目的资金管理，把有限的资金用到刀刃上。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全面实施绩效管理。建立健全预算绩效指标体系，扩大预算绩效评价范围，建立绩效评价结果与预算安排挂钩机制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切实提高财政资金配置效率和使用效益。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积极化解政府债务风险。健全全口径债务风险评估预警机制，遏制隐性债务增量。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进一步加强财政监督。加强财政内控制度建设，织密扎牢制度的“笼子”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加强财政队伍建设。坚持党建引领，巩固“不忘初心、牢记使命”主题教育成果，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全力落实“学讲话、赶先进、蹚新路”主题实践活动，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打造忠诚干净担当的财政队伍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baseline"/>
        <w:outlineLvl w:val="0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主任、副主任、各位委员，</w:t>
      </w:r>
      <w:r>
        <w:rPr>
          <w:rFonts w:hint="eastAsia" w:ascii="仿宋_GB2312" w:eastAsia="仿宋_GB2312"/>
          <w:sz w:val="32"/>
          <w:szCs w:val="32"/>
          <w:lang w:eastAsia="zh-CN"/>
        </w:rPr>
        <w:t>今年的财政工作面临前所未有的困难和挑战。</w:t>
      </w:r>
      <w:r>
        <w:rPr>
          <w:rFonts w:hint="eastAsia" w:ascii="仿宋_GB2312" w:eastAsia="仿宋_GB2312"/>
          <w:sz w:val="32"/>
          <w:szCs w:val="32"/>
        </w:rPr>
        <w:t>我们将在县委</w:t>
      </w:r>
      <w:r>
        <w:rPr>
          <w:rFonts w:hint="eastAsia" w:ascii="仿宋_GB2312" w:eastAsia="仿宋_GB2312"/>
          <w:sz w:val="32"/>
          <w:szCs w:val="32"/>
          <w:lang w:eastAsia="zh-CN"/>
        </w:rPr>
        <w:t>县政府</w:t>
      </w:r>
      <w:r>
        <w:rPr>
          <w:rFonts w:hint="eastAsia" w:ascii="仿宋_GB2312" w:eastAsia="仿宋_GB2312"/>
          <w:sz w:val="32"/>
          <w:szCs w:val="32"/>
        </w:rPr>
        <w:t>的坚强领导下，在县人大</w:t>
      </w:r>
      <w:r>
        <w:rPr>
          <w:rFonts w:hint="eastAsia" w:ascii="仿宋_GB2312" w:eastAsia="仿宋_GB2312"/>
          <w:sz w:val="32"/>
          <w:szCs w:val="32"/>
          <w:lang w:eastAsia="zh-CN"/>
        </w:rPr>
        <w:t>及常委会</w:t>
      </w:r>
      <w:r>
        <w:rPr>
          <w:rFonts w:hint="eastAsia" w:ascii="仿宋_GB2312" w:eastAsia="仿宋_GB2312"/>
          <w:sz w:val="32"/>
          <w:szCs w:val="32"/>
        </w:rPr>
        <w:t>的监督指导下，坚定信心，锐意进取，只争朝夕，不负韶华，扎实做好财政各项工作，</w:t>
      </w:r>
      <w:r>
        <w:rPr>
          <w:rFonts w:hint="eastAsia" w:ascii="仿宋_GB2312" w:eastAsia="仿宋_GB2312"/>
          <w:sz w:val="32"/>
          <w:szCs w:val="32"/>
          <w:lang w:eastAsia="zh-CN"/>
        </w:rPr>
        <w:t>在“争当新标杆、打造新高地、建设新曲沃”奋斗征程中努力做出贡献！</w:t>
      </w:r>
    </w:p>
    <w:p>
      <w:pPr>
        <w:pStyle w:val="2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</w:p>
    <w:p>
      <w:pPr>
        <w:wordWrap w:val="0"/>
        <w:jc w:val="right"/>
        <w:rPr>
          <w:rFonts w:hint="default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</w:t>
      </w:r>
    </w:p>
    <w:p>
      <w:pPr>
        <w:pStyle w:val="2"/>
        <w:jc w:val="right"/>
        <w:rPr>
          <w:rFonts w:hint="eastAsia"/>
        </w:rPr>
      </w:pPr>
    </w:p>
    <w:p>
      <w:pPr>
        <w:widowControl w:val="0"/>
        <w:shd w:val="clear" w:color="auto" w:fill="FFFFFF"/>
        <w:spacing w:line="240" w:lineRule="auto"/>
        <w:ind w:firstLine="640"/>
        <w:jc w:val="right"/>
        <w:rPr>
          <w:rFonts w:hint="eastAsia" w:ascii="仿宋_GB2312" w:hAnsi="仿宋" w:eastAsia="仿宋_GB2312" w:cs="宋体"/>
          <w:color w:val="auto"/>
          <w:sz w:val="32"/>
          <w:szCs w:val="32"/>
        </w:rPr>
      </w:pPr>
      <w:bookmarkStart w:id="0" w:name="_GoBack"/>
      <w:bookmarkEnd w:id="0"/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A0AFA"/>
    <w:rsid w:val="02CF2870"/>
    <w:rsid w:val="04377BFF"/>
    <w:rsid w:val="05FF7F3D"/>
    <w:rsid w:val="0BAA415D"/>
    <w:rsid w:val="0F102F18"/>
    <w:rsid w:val="0FB90DC2"/>
    <w:rsid w:val="185B5950"/>
    <w:rsid w:val="1B4C668C"/>
    <w:rsid w:val="1D630F16"/>
    <w:rsid w:val="23167129"/>
    <w:rsid w:val="23DC056C"/>
    <w:rsid w:val="27B0232D"/>
    <w:rsid w:val="290C7429"/>
    <w:rsid w:val="29DB2950"/>
    <w:rsid w:val="2AEA7855"/>
    <w:rsid w:val="2D886B22"/>
    <w:rsid w:val="356703A1"/>
    <w:rsid w:val="38540380"/>
    <w:rsid w:val="3947792C"/>
    <w:rsid w:val="3EDF44DE"/>
    <w:rsid w:val="40E74465"/>
    <w:rsid w:val="43EC3B89"/>
    <w:rsid w:val="48492E3B"/>
    <w:rsid w:val="4FD677D1"/>
    <w:rsid w:val="51AD5CCA"/>
    <w:rsid w:val="56D53BD7"/>
    <w:rsid w:val="5E8D5811"/>
    <w:rsid w:val="60611AB3"/>
    <w:rsid w:val="61DF1517"/>
    <w:rsid w:val="634408F4"/>
    <w:rsid w:val="63E13ED6"/>
    <w:rsid w:val="689E2D7A"/>
    <w:rsid w:val="691B4571"/>
    <w:rsid w:val="6EFE01E9"/>
    <w:rsid w:val="6FA77B6D"/>
    <w:rsid w:val="730305D4"/>
    <w:rsid w:val="77BB5D95"/>
    <w:rsid w:val="7A703885"/>
    <w:rsid w:val="7CEB2C8D"/>
    <w:rsid w:val="7F43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rFonts w:ascii="Arial" w:hAnsi="Arial" w:eastAsia="穝灿砰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  <w:u w:val="none" w:color="auto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2020-07-09T09:12:00Z</dcterms:created>
  <dc:creator>Administrator</dc:creator>
  <cp:lastModifiedBy>田儿</cp:lastModifiedBy>
  <cp:lastPrinted>2020-07-17T08:23:00Z</cp:lastPrinted>
  <dcterms:modified xsi:type="dcterms:W3CDTF">2020-07-27T01:24:02Z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