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ascii="宋体"/>
          <w:b/>
          <w:color w:val="000000"/>
          <w:kern w:val="0"/>
          <w:sz w:val="44"/>
          <w:szCs w:val="44"/>
        </w:rPr>
      </w:pPr>
      <w:r>
        <w:rPr>
          <w:rStyle w:val="8"/>
          <w:rFonts w:hint="eastAsia" w:ascii="宋体" w:hAnsi="宋体"/>
          <w:b/>
          <w:color w:val="000000"/>
          <w:kern w:val="0"/>
          <w:sz w:val="44"/>
          <w:szCs w:val="44"/>
        </w:rPr>
        <w:t>曲沃县供销社联合社</w:t>
      </w:r>
    </w:p>
    <w:p>
      <w:pPr>
        <w:jc w:val="center"/>
        <w:rPr>
          <w:rStyle w:val="8"/>
          <w:rFonts w:ascii="宋体"/>
          <w:b/>
          <w:color w:val="000000"/>
          <w:kern w:val="0"/>
          <w:sz w:val="44"/>
          <w:szCs w:val="44"/>
        </w:rPr>
      </w:pPr>
      <w:r>
        <w:rPr>
          <w:rStyle w:val="8"/>
          <w:rFonts w:ascii="宋体" w:hAnsi="宋体"/>
          <w:b/>
          <w:color w:val="000000"/>
          <w:kern w:val="0"/>
          <w:sz w:val="44"/>
          <w:szCs w:val="44"/>
        </w:rPr>
        <w:t>202</w:t>
      </w:r>
      <w:r>
        <w:rPr>
          <w:rStyle w:val="8"/>
          <w:rFonts w:hint="eastAsia" w:ascii="宋体" w:hAnsi="宋体"/>
          <w:b/>
          <w:color w:val="000000"/>
          <w:kern w:val="0"/>
          <w:sz w:val="44"/>
          <w:szCs w:val="44"/>
        </w:rPr>
        <w:t>1年度部门预算信息公开</w:t>
      </w:r>
    </w:p>
    <w:p>
      <w:pPr>
        <w:jc w:val="center"/>
        <w:rPr>
          <w:rStyle w:val="8"/>
          <w:rFonts w:ascii="仿宋_GB2312" w:hAnsi="??,Verdana,Arial" w:eastAsia="仿宋_GB2312"/>
          <w:color w:val="000000"/>
          <w:kern w:val="0"/>
          <w:sz w:val="32"/>
          <w:szCs w:val="32"/>
        </w:rPr>
      </w:pPr>
    </w:p>
    <w:p>
      <w:pPr>
        <w:jc w:val="center"/>
        <w:rPr>
          <w:rStyle w:val="8"/>
          <w:rFonts w:ascii="黑体" w:hAnsi="仿宋" w:eastAsia="黑体"/>
          <w:sz w:val="32"/>
          <w:szCs w:val="32"/>
        </w:rPr>
      </w:pPr>
      <w:r>
        <w:rPr>
          <w:rStyle w:val="8"/>
          <w:rFonts w:hint="eastAsia" w:ascii="黑体" w:hAnsi="仿宋" w:eastAsia="黑体"/>
          <w:sz w:val="32"/>
          <w:szCs w:val="32"/>
        </w:rPr>
        <w:t>第一部分概况</w:t>
      </w:r>
    </w:p>
    <w:p>
      <w:pPr>
        <w:ind w:firstLine="643" w:firstLineChars="200"/>
        <w:jc w:val="left"/>
        <w:rPr>
          <w:rStyle w:val="8"/>
          <w:rFonts w:ascii="仿宋_GB2312" w:hAnsi="仿宋" w:eastAsia="仿宋_GB2312"/>
          <w:b/>
          <w:color w:val="000000"/>
          <w:kern w:val="0"/>
          <w:sz w:val="32"/>
          <w:szCs w:val="32"/>
        </w:rPr>
      </w:pPr>
      <w:r>
        <w:rPr>
          <w:rStyle w:val="8"/>
          <w:rFonts w:hint="eastAsia" w:ascii="仿宋_GB2312" w:hAnsi="仿宋" w:eastAsia="仿宋_GB2312"/>
          <w:b/>
          <w:color w:val="000000"/>
          <w:kern w:val="0"/>
          <w:sz w:val="32"/>
          <w:szCs w:val="32"/>
        </w:rPr>
        <w:t>一、</w:t>
      </w:r>
      <w:r>
        <w:rPr>
          <w:rStyle w:val="8"/>
          <w:rFonts w:hint="eastAsia" w:ascii="仿宋_GB2312" w:hAnsi="仿宋" w:eastAsia="仿宋_GB2312"/>
          <w:b/>
          <w:color w:val="000000"/>
          <w:kern w:val="0"/>
          <w:sz w:val="32"/>
          <w:szCs w:val="32"/>
          <w:highlight w:val="none"/>
          <w:lang w:eastAsia="zh-CN"/>
        </w:rPr>
        <w:t>主要</w:t>
      </w:r>
      <w:r>
        <w:rPr>
          <w:rStyle w:val="8"/>
          <w:rFonts w:hint="eastAsia" w:ascii="仿宋_GB2312" w:hAnsi="仿宋" w:eastAsia="仿宋_GB2312"/>
          <w:b/>
          <w:color w:val="000000"/>
          <w:kern w:val="0"/>
          <w:sz w:val="32"/>
          <w:szCs w:val="32"/>
        </w:rPr>
        <w:t>职能</w:t>
      </w:r>
      <w:r>
        <w:rPr>
          <w:rStyle w:val="8"/>
          <w:rFonts w:ascii="仿宋_GB2312" w:hAnsi="??,Verdana,Arial" w:eastAsia="仿宋_GB2312"/>
          <w:b/>
          <w:color w:val="000000"/>
          <w:kern w:val="0"/>
          <w:sz w:val="32"/>
          <w:szCs w:val="32"/>
        </w:rPr>
        <w:t>  </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、研究制定和组织实施全县供销社的发展战略和规划，指导全县供销社的改革与发展及县基所属单位班子建议。</w:t>
      </w:r>
    </w:p>
    <w:p>
      <w:pPr>
        <w:spacing w:line="580" w:lineRule="exact"/>
        <w:ind w:firstLine="63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、向政府和有关部门反映农民和供销社的意见、要求，争取扶持政策，维护各级供销合作社的合法权益。负责社有资产的管理，确保社有资产的保值、增值。</w:t>
      </w:r>
    </w:p>
    <w:p>
      <w:pPr>
        <w:spacing w:line="580" w:lineRule="exact"/>
        <w:ind w:firstLine="63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、指导全县供销合作社的业务活动，指导农业产业化经营，引导帮助农民发展商品生产和有组织地进入市场，加强系统的联合与合作。</w:t>
      </w:r>
    </w:p>
    <w:p>
      <w:pPr>
        <w:spacing w:line="580" w:lineRule="exact"/>
        <w:ind w:firstLine="629"/>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、指导所属供销社发挥人才、信息、科技、经济的优势，协调同有关部门的合作，为发展城乡经济服务。</w:t>
      </w:r>
      <w:r>
        <w:rPr>
          <w:rFonts w:ascii="仿宋_GB2312" w:eastAsia="仿宋_GB2312"/>
          <w:sz w:val="32"/>
          <w:szCs w:val="32"/>
        </w:rPr>
        <w:t xml:space="preserve">                 </w:t>
      </w:r>
    </w:p>
    <w:p>
      <w:pPr>
        <w:ind w:firstLine="629"/>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、宣传贯彻落实党和国家有关农村经济和社会发展的方针、政策，指导全县供销合作社加强精神文明建设，搞好系统内干部、职工的教育和培训工作。</w:t>
      </w:r>
    </w:p>
    <w:p>
      <w:pPr>
        <w:ind w:firstLine="63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、参与全县和系统内组织的国内外经济交流活动，发展经济、贸易、技术、人才交流和友好合作关系。</w:t>
      </w:r>
    </w:p>
    <w:p>
      <w:pPr>
        <w:ind w:firstLine="63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、承办县人民政府交办的其他事项。</w:t>
      </w:r>
    </w:p>
    <w:p>
      <w:pPr>
        <w:ind w:firstLine="643" w:firstLineChars="200"/>
        <w:rPr>
          <w:rFonts w:ascii="仿宋_GB2312" w:hAnsi="仿宋" w:eastAsia="仿宋_GB2312"/>
          <w:b/>
          <w:sz w:val="32"/>
          <w:szCs w:val="32"/>
        </w:rPr>
      </w:pPr>
      <w:r>
        <w:rPr>
          <w:rFonts w:hint="eastAsia" w:ascii="仿宋_GB2312" w:hAnsi="仿宋" w:eastAsia="仿宋_GB2312"/>
          <w:b/>
          <w:sz w:val="32"/>
          <w:szCs w:val="32"/>
          <w:highlight w:val="none"/>
        </w:rPr>
        <w:t>二、</w:t>
      </w:r>
      <w:r>
        <w:rPr>
          <w:rFonts w:hint="eastAsia" w:ascii="仿宋_GB2312" w:hAnsi="仿宋" w:eastAsia="仿宋_GB2312"/>
          <w:b/>
          <w:sz w:val="32"/>
          <w:szCs w:val="32"/>
          <w:lang w:val="en-US" w:eastAsia="zh-CN"/>
        </w:rPr>
        <w:t>部门</w:t>
      </w:r>
      <w:r>
        <w:rPr>
          <w:rFonts w:hint="eastAsia" w:ascii="仿宋_GB2312" w:hAnsi="仿宋" w:eastAsia="仿宋_GB2312"/>
          <w:b/>
          <w:sz w:val="32"/>
          <w:szCs w:val="32"/>
        </w:rPr>
        <w:t>机构设置</w:t>
      </w:r>
      <w:r>
        <w:rPr>
          <w:rFonts w:hint="eastAsia" w:ascii="仿宋_GB2312" w:hAnsi="仿宋" w:eastAsia="仿宋_GB2312"/>
          <w:b/>
          <w:sz w:val="32"/>
          <w:szCs w:val="32"/>
          <w:lang w:val="en-US" w:eastAsia="zh-CN"/>
        </w:rPr>
        <w:t>及预算单位构成情况</w:t>
      </w:r>
    </w:p>
    <w:p>
      <w:pPr>
        <w:ind w:firstLine="630"/>
        <w:rPr>
          <w:rFonts w:hint="eastAsia" w:ascii="仿宋_GB2312" w:eastAsia="仿宋_GB2312"/>
          <w:sz w:val="32"/>
          <w:szCs w:val="32"/>
        </w:rPr>
      </w:pPr>
      <w:r>
        <w:rPr>
          <w:rFonts w:hint="eastAsia" w:ascii="仿宋_GB2312" w:eastAsia="仿宋_GB2312"/>
          <w:sz w:val="32"/>
          <w:szCs w:val="32"/>
        </w:rPr>
        <w:t>县社机关内设综合办公室、监事会办公室、党建办公室、财务股等</w:t>
      </w:r>
      <w:r>
        <w:rPr>
          <w:rFonts w:ascii="仿宋_GB2312" w:eastAsia="仿宋_GB2312"/>
          <w:sz w:val="32"/>
          <w:szCs w:val="32"/>
        </w:rPr>
        <w:t>4</w:t>
      </w:r>
      <w:r>
        <w:rPr>
          <w:rFonts w:hint="eastAsia" w:ascii="仿宋_GB2312" w:eastAsia="仿宋_GB2312"/>
          <w:sz w:val="32"/>
          <w:szCs w:val="32"/>
        </w:rPr>
        <w:t>个股室。现有人员</w:t>
      </w:r>
      <w:r>
        <w:rPr>
          <w:rFonts w:ascii="仿宋_GB2312" w:eastAsia="仿宋_GB2312"/>
          <w:sz w:val="32"/>
          <w:szCs w:val="32"/>
        </w:rPr>
        <w:t>17</w:t>
      </w:r>
      <w:r>
        <w:rPr>
          <w:rFonts w:hint="eastAsia" w:ascii="仿宋_GB2312" w:eastAsia="仿宋_GB2312"/>
          <w:sz w:val="32"/>
          <w:szCs w:val="32"/>
        </w:rPr>
        <w:t>人，其中：财政供养人员</w:t>
      </w:r>
      <w:r>
        <w:rPr>
          <w:rFonts w:ascii="仿宋_GB2312" w:eastAsia="仿宋_GB2312"/>
          <w:sz w:val="32"/>
          <w:szCs w:val="32"/>
        </w:rPr>
        <w:t>16</w:t>
      </w:r>
      <w:r>
        <w:rPr>
          <w:rFonts w:hint="eastAsia" w:ascii="仿宋_GB2312" w:eastAsia="仿宋_GB2312"/>
          <w:sz w:val="32"/>
          <w:szCs w:val="32"/>
        </w:rPr>
        <w:t>人，自收自支人员</w:t>
      </w:r>
      <w:r>
        <w:rPr>
          <w:rFonts w:ascii="仿宋_GB2312" w:eastAsia="仿宋_GB2312"/>
          <w:sz w:val="32"/>
          <w:szCs w:val="32"/>
        </w:rPr>
        <w:t>1</w:t>
      </w:r>
      <w:r>
        <w:rPr>
          <w:rFonts w:hint="eastAsia" w:ascii="仿宋_GB2312" w:eastAsia="仿宋_GB2312"/>
          <w:sz w:val="32"/>
          <w:szCs w:val="32"/>
        </w:rPr>
        <w:t>人。</w:t>
      </w:r>
    </w:p>
    <w:p>
      <w:pPr>
        <w:ind w:firstLine="630"/>
        <w:rPr>
          <w:rFonts w:hint="eastAsia" w:ascii="仿宋_GB2312" w:eastAsia="仿宋_GB2312"/>
          <w:b/>
          <w:bCs/>
          <w:sz w:val="32"/>
          <w:szCs w:val="32"/>
        </w:rPr>
      </w:pPr>
      <w:r>
        <w:rPr>
          <w:rFonts w:hint="eastAsia" w:ascii="仿宋_GB2312" w:eastAsia="仿宋_GB2312"/>
          <w:b/>
          <w:bCs/>
          <w:sz w:val="32"/>
          <w:szCs w:val="32"/>
        </w:rPr>
        <w:t>三、2021年部门主要工作任务及目标</w:t>
      </w:r>
    </w:p>
    <w:p>
      <w:pPr>
        <w:ind w:firstLine="630"/>
        <w:rPr>
          <w:rFonts w:ascii="仿宋_GB2312" w:eastAsia="仿宋_GB2312"/>
          <w:sz w:val="32"/>
          <w:szCs w:val="32"/>
        </w:rPr>
      </w:pPr>
      <w:r>
        <w:rPr>
          <w:rFonts w:hint="eastAsia" w:ascii="仿宋_GB2312" w:eastAsia="仿宋_GB2312"/>
          <w:sz w:val="32"/>
          <w:szCs w:val="32"/>
        </w:rPr>
        <w:t>1.继续做好供销社综合改革各项工作，全面完成省、市供销社下达的任务指标，全年完成销售总额6.6亿元，同比增长20%以上。</w:t>
      </w:r>
    </w:p>
    <w:p>
      <w:pPr>
        <w:ind w:firstLine="630"/>
        <w:rPr>
          <w:rFonts w:ascii="仿宋_GB2312" w:eastAsia="仿宋_GB2312"/>
          <w:sz w:val="32"/>
          <w:szCs w:val="32"/>
        </w:rPr>
      </w:pPr>
      <w:r>
        <w:rPr>
          <w:rFonts w:hint="eastAsia" w:ascii="仿宋_GB2312" w:eastAsia="仿宋_GB2312"/>
          <w:sz w:val="32"/>
          <w:szCs w:val="32"/>
        </w:rPr>
        <w:t>2.在全面完成综合改革项目绩效评价整改基础上，争取省、市供销社支持，力争流通集散中心冷链物流产业园项目落地。</w:t>
      </w:r>
    </w:p>
    <w:p>
      <w:pPr>
        <w:ind w:firstLine="630"/>
        <w:rPr>
          <w:rFonts w:ascii="仿宋_GB2312" w:eastAsia="仿宋_GB2312"/>
          <w:sz w:val="32"/>
          <w:szCs w:val="32"/>
        </w:rPr>
      </w:pPr>
      <w:r>
        <w:rPr>
          <w:rFonts w:hint="eastAsia" w:ascii="仿宋_GB2312" w:eastAsia="仿宋_GB2312"/>
          <w:sz w:val="32"/>
          <w:szCs w:val="32"/>
        </w:rPr>
        <w:t>3.整合现有农村服务网络，全面完成与“供销惠农联盟”对接，打通农副产品上行和工业品下行双向流通渠道，拓宽经营领域，扩大经营规模，提升曲沃县供销社的综合实力和影响力。</w:t>
      </w:r>
    </w:p>
    <w:p>
      <w:pPr>
        <w:ind w:firstLine="630"/>
        <w:rPr>
          <w:rFonts w:ascii="仿宋_GB2312" w:eastAsia="仿宋_GB2312"/>
          <w:sz w:val="32"/>
          <w:szCs w:val="32"/>
        </w:rPr>
      </w:pPr>
      <w:r>
        <w:rPr>
          <w:rFonts w:hint="eastAsia" w:ascii="仿宋_GB2312" w:eastAsia="仿宋_GB2312"/>
          <w:sz w:val="32"/>
          <w:szCs w:val="32"/>
        </w:rPr>
        <w:t>4.提前入手，加强对内对外的沟通协调，积极配合兄弟单位做好明年黄河金三角果蔬博览会的筹备工作。</w:t>
      </w:r>
    </w:p>
    <w:p>
      <w:pPr>
        <w:rPr>
          <w:rStyle w:val="8"/>
          <w:rFonts w:ascii="仿宋_GB2312" w:eastAsia="仿宋_GB2312"/>
          <w:sz w:val="32"/>
          <w:szCs w:val="32"/>
        </w:rPr>
      </w:pPr>
    </w:p>
    <w:p>
      <w:pPr>
        <w:jc w:val="center"/>
        <w:rPr>
          <w:rFonts w:hint="eastAsia" w:ascii="黑体" w:hAnsi="仿宋" w:eastAsia="黑体"/>
          <w:sz w:val="32"/>
          <w:szCs w:val="32"/>
        </w:rPr>
      </w:pPr>
      <w:r>
        <w:rPr>
          <w:rFonts w:hint="eastAsia" w:ascii="黑体" w:hAnsi="仿宋" w:eastAsia="黑体"/>
          <w:sz w:val="32"/>
          <w:szCs w:val="32"/>
        </w:rPr>
        <w:t>第二部分20</w:t>
      </w:r>
      <w:r>
        <w:rPr>
          <w:rFonts w:ascii="黑体" w:hAnsi="仿宋" w:eastAsia="黑体"/>
          <w:sz w:val="32"/>
          <w:szCs w:val="32"/>
        </w:rPr>
        <w:t>2</w:t>
      </w:r>
      <w:r>
        <w:rPr>
          <w:rFonts w:hint="eastAsia" w:ascii="黑体" w:hAnsi="仿宋" w:eastAsia="黑体"/>
          <w:sz w:val="32"/>
          <w:szCs w:val="32"/>
        </w:rPr>
        <w:t>1年部门预算报表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一、曲沃县供销社部门2021年预算收支总表（见附表）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二、曲沃县</w:t>
      </w:r>
      <w:bookmarkStart w:id="0" w:name="_GoBack"/>
      <w:bookmarkEnd w:id="0"/>
      <w:r>
        <w:rPr>
          <w:rFonts w:hint="eastAsia" w:ascii="仿宋_GB2312" w:hAnsi="仿宋" w:eastAsia="仿宋_GB2312"/>
          <w:sz w:val="32"/>
          <w:szCs w:val="32"/>
        </w:rPr>
        <w:t>供销社部门2021年预算收入总表（见附表）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三、曲沃县供销社部门2021年预算支出总表（见附表）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四、曲沃县供销社部门2021年财政拨款收支总表（见附表）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五、曲沃县供销社部门2021年一般公共预算支出预算表（见附表）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六、曲沃县供销社部门2021年一般公共预算安排基本支出分经济科目表（见附表）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七、曲沃县供销社部门2021年政府性基金预算收入表（见附表）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八、曲沃县供销社部门2021年政府性基金预算支出预算表（见附表）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九、曲沃县供销社部门2021年政府采购支出预算表（见附表）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十、曲沃县供销社部门2021年机关运行经费预算财政拨款情况统计表（见附表）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十一、曲沃县供销社部门2021年“三公”经费预算表（见附表）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十二、曲沃县供销社部门2021年县级财政项目支出绩效目标表（见附表）</w:t>
      </w:r>
    </w:p>
    <w:p>
      <w:pPr>
        <w:widowControl w:val="0"/>
        <w:textAlignment w:val="auto"/>
        <w:rPr>
          <w:rFonts w:hint="eastAsia" w:ascii="仿宋_GB2312" w:hAnsi="仿宋" w:eastAsia="仿宋_GB2312"/>
          <w:sz w:val="32"/>
          <w:szCs w:val="32"/>
        </w:rPr>
      </w:pPr>
    </w:p>
    <w:p>
      <w:pPr>
        <w:widowControl w:val="0"/>
        <w:jc w:val="center"/>
        <w:textAlignment w:val="auto"/>
        <w:rPr>
          <w:rFonts w:ascii="黑体" w:hAnsi="仿宋" w:eastAsia="黑体"/>
          <w:sz w:val="32"/>
          <w:szCs w:val="32"/>
        </w:rPr>
      </w:pPr>
      <w:r>
        <w:rPr>
          <w:rFonts w:hint="eastAsia" w:ascii="黑体" w:hAnsi="仿宋" w:eastAsia="黑体"/>
          <w:sz w:val="32"/>
          <w:szCs w:val="32"/>
        </w:rPr>
        <w:t xml:space="preserve">第三部分  </w:t>
      </w:r>
      <w:r>
        <w:rPr>
          <w:rFonts w:hint="eastAsia" w:ascii="仿宋_GB2312" w:hAnsi="仿宋" w:eastAsia="仿宋_GB2312"/>
          <w:sz w:val="32"/>
          <w:szCs w:val="32"/>
        </w:rPr>
        <w:t>20</w:t>
      </w:r>
      <w:r>
        <w:rPr>
          <w:rFonts w:ascii="仿宋_GB2312" w:hAnsi="仿宋" w:eastAsia="仿宋_GB2312"/>
          <w:sz w:val="32"/>
          <w:szCs w:val="32"/>
        </w:rPr>
        <w:t>2</w:t>
      </w:r>
      <w:r>
        <w:rPr>
          <w:rFonts w:hint="eastAsia" w:ascii="仿宋_GB2312" w:hAnsi="仿宋" w:eastAsia="仿宋_GB2312"/>
          <w:sz w:val="32"/>
          <w:szCs w:val="32"/>
        </w:rPr>
        <w:t>1</w:t>
      </w:r>
      <w:r>
        <w:rPr>
          <w:rFonts w:hint="eastAsia" w:ascii="黑体" w:hAnsi="仿宋" w:eastAsia="黑体"/>
          <w:sz w:val="32"/>
          <w:szCs w:val="32"/>
        </w:rPr>
        <w:t>年度部门预算情况说明</w:t>
      </w:r>
    </w:p>
    <w:p>
      <w:pPr>
        <w:widowControl w:val="0"/>
        <w:ind w:firstLine="643" w:firstLineChars="200"/>
        <w:textAlignment w:val="auto"/>
        <w:rPr>
          <w:rFonts w:hint="eastAsia" w:ascii="仿宋_GB2312" w:hAnsi="仿宋" w:eastAsia="仿宋_GB2312"/>
          <w:b/>
          <w:bCs/>
          <w:sz w:val="32"/>
          <w:szCs w:val="32"/>
        </w:rPr>
      </w:pPr>
      <w:r>
        <w:rPr>
          <w:rFonts w:hint="eastAsia" w:ascii="仿宋_GB2312" w:hAnsi="仿宋" w:eastAsia="仿宋_GB2312"/>
          <w:b/>
          <w:bCs/>
          <w:sz w:val="32"/>
          <w:szCs w:val="32"/>
        </w:rPr>
        <w:t>一、收支预算总体情况说明</w:t>
      </w:r>
    </w:p>
    <w:p>
      <w:pPr>
        <w:widowControl w:val="0"/>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曲沃县供销社2021年度收入、支出预算总计193.35万元，与上年相比收、支预算总计各增加1.65万元，增加0.9%。其中：</w:t>
      </w:r>
    </w:p>
    <w:p>
      <w:pPr>
        <w:widowControl w:val="0"/>
        <w:numPr>
          <w:ilvl w:val="0"/>
          <w:numId w:val="1"/>
        </w:numPr>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收入预算总计193.35万元。包括：</w:t>
      </w:r>
    </w:p>
    <w:p>
      <w:pPr>
        <w:widowControl w:val="0"/>
        <w:numPr>
          <w:ilvl w:val="0"/>
          <w:numId w:val="2"/>
        </w:numPr>
        <w:textAlignment w:val="auto"/>
        <w:rPr>
          <w:rFonts w:hint="eastAsia" w:ascii="仿宋_GB2312" w:hAnsi="仿宋" w:eastAsia="仿宋_GB2312"/>
          <w:sz w:val="32"/>
          <w:szCs w:val="32"/>
        </w:rPr>
      </w:pPr>
      <w:r>
        <w:rPr>
          <w:rFonts w:hint="eastAsia" w:ascii="仿宋_GB2312" w:hAnsi="仿宋" w:eastAsia="仿宋_GB2312"/>
          <w:sz w:val="32"/>
          <w:szCs w:val="32"/>
        </w:rPr>
        <w:t>财政拨款收入预算总计193.35万元。</w:t>
      </w:r>
    </w:p>
    <w:p>
      <w:pPr>
        <w:widowControl w:val="0"/>
        <w:numPr>
          <w:ilvl w:val="0"/>
          <w:numId w:val="3"/>
        </w:numPr>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一般公共预算收入预算193.35万元，与上年相比增加1.65万元，增加0.9%。主要原因是2021年预算中在职人员“四险两金”数增加（此项预算2020年未在本部门体现）。  </w:t>
      </w:r>
    </w:p>
    <w:p>
      <w:pPr>
        <w:widowControl w:val="0"/>
        <w:numPr>
          <w:ilvl w:val="0"/>
          <w:numId w:val="2"/>
        </w:numPr>
        <w:textAlignment w:val="auto"/>
        <w:rPr>
          <w:rFonts w:hint="eastAsia" w:ascii="仿宋_GB2312" w:hAnsi="仿宋" w:eastAsia="仿宋_GB2312"/>
          <w:sz w:val="32"/>
          <w:szCs w:val="32"/>
        </w:rPr>
      </w:pPr>
      <w:r>
        <w:rPr>
          <w:rFonts w:hint="eastAsia" w:ascii="仿宋_GB2312" w:hAnsi="仿宋" w:eastAsia="仿宋_GB2312"/>
          <w:sz w:val="32"/>
          <w:szCs w:val="32"/>
        </w:rPr>
        <w:t>无财政专户管理资金。</w:t>
      </w:r>
    </w:p>
    <w:p>
      <w:pPr>
        <w:widowControl w:val="0"/>
        <w:numPr>
          <w:ilvl w:val="0"/>
          <w:numId w:val="2"/>
        </w:numPr>
        <w:textAlignment w:val="auto"/>
        <w:rPr>
          <w:rFonts w:ascii="仿宋_GB2312" w:hAnsi="仿宋" w:eastAsia="仿宋_GB2312"/>
          <w:sz w:val="32"/>
          <w:szCs w:val="32"/>
        </w:rPr>
      </w:pPr>
      <w:r>
        <w:rPr>
          <w:rFonts w:hint="eastAsia" w:ascii="仿宋_GB2312" w:hAnsi="仿宋" w:eastAsia="仿宋_GB2312"/>
          <w:sz w:val="32"/>
          <w:szCs w:val="32"/>
        </w:rPr>
        <w:t>无国有资本经营收入。</w:t>
      </w:r>
    </w:p>
    <w:p>
      <w:pPr>
        <w:widowControl w:val="0"/>
        <w:numPr>
          <w:ilvl w:val="0"/>
          <w:numId w:val="2"/>
        </w:numPr>
        <w:textAlignment w:val="auto"/>
        <w:rPr>
          <w:rFonts w:ascii="仿宋_GB2312" w:hAnsi="仿宋" w:eastAsia="仿宋_GB2312"/>
          <w:sz w:val="32"/>
          <w:szCs w:val="32"/>
        </w:rPr>
      </w:pPr>
      <w:r>
        <w:rPr>
          <w:rFonts w:hint="eastAsia" w:ascii="仿宋_GB2312" w:hAnsi="仿宋" w:eastAsia="仿宋_GB2312"/>
          <w:sz w:val="32"/>
          <w:szCs w:val="32"/>
        </w:rPr>
        <w:t>无其他资金收入。</w:t>
      </w:r>
    </w:p>
    <w:p>
      <w:pPr>
        <w:widowControl w:val="0"/>
        <w:numPr>
          <w:ilvl w:val="0"/>
          <w:numId w:val="1"/>
        </w:numPr>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支出预算总计193.35万元。包括：</w:t>
      </w:r>
    </w:p>
    <w:p>
      <w:pPr>
        <w:widowControl w:val="0"/>
        <w:numPr>
          <w:ilvl w:val="0"/>
          <w:numId w:val="4"/>
        </w:numPr>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一般公共服务支出193.35万元，主要用于人员支出及部分项目支出。与上年相比基本持平。</w:t>
      </w:r>
    </w:p>
    <w:p>
      <w:pPr>
        <w:widowControl w:val="0"/>
        <w:ind w:left="-16" w:leftChars="-503" w:hanging="1040" w:hangingChars="325"/>
        <w:textAlignment w:val="auto"/>
        <w:rPr>
          <w:rFonts w:ascii="仿宋_GB2312" w:hAnsi="仿宋" w:eastAsia="仿宋_GB2312"/>
          <w:sz w:val="32"/>
          <w:szCs w:val="32"/>
        </w:rPr>
      </w:pPr>
      <w:r>
        <w:rPr>
          <w:rFonts w:hint="eastAsia" w:ascii="仿宋_GB2312" w:hAnsi="仿宋" w:eastAsia="仿宋_GB2312"/>
          <w:sz w:val="32"/>
          <w:szCs w:val="32"/>
        </w:rPr>
        <w:t xml:space="preserve">           2、社会保障和就业支出37.08万元，主要用于缴纳职工各项社保。（上年此项资金不在部门单位预算体现）</w:t>
      </w:r>
    </w:p>
    <w:p>
      <w:pPr>
        <w:widowControl w:val="0"/>
        <w:ind w:left="-15" w:leftChars="-7" w:firstLine="649" w:firstLineChars="203"/>
        <w:textAlignment w:val="auto"/>
        <w:rPr>
          <w:rFonts w:ascii="仿宋_GB2312" w:hAnsi="仿宋" w:eastAsia="仿宋_GB2312"/>
          <w:sz w:val="32"/>
          <w:szCs w:val="32"/>
        </w:rPr>
      </w:pPr>
      <w:r>
        <w:rPr>
          <w:rFonts w:hint="eastAsia" w:ascii="仿宋_GB2312" w:hAnsi="仿宋" w:eastAsia="仿宋_GB2312"/>
          <w:sz w:val="32"/>
          <w:szCs w:val="32"/>
        </w:rPr>
        <w:t xml:space="preserve"> 3、卫生健康支出7.32万元，主要用于缴纳职工医疗保险。（上年此项资金不在部门单位预算体现）</w:t>
      </w:r>
    </w:p>
    <w:p>
      <w:pPr>
        <w:widowControl w:val="0"/>
        <w:ind w:left="-15" w:leftChars="-7" w:firstLine="652" w:firstLineChars="204"/>
        <w:textAlignment w:val="auto"/>
        <w:rPr>
          <w:rFonts w:ascii="仿宋_GB2312" w:hAnsi="仿宋" w:eastAsia="仿宋_GB2312"/>
          <w:sz w:val="32"/>
          <w:szCs w:val="32"/>
        </w:rPr>
      </w:pPr>
      <w:r>
        <w:rPr>
          <w:rFonts w:hint="eastAsia" w:ascii="仿宋_GB2312" w:hAnsi="仿宋" w:eastAsia="仿宋_GB2312"/>
          <w:sz w:val="32"/>
          <w:szCs w:val="32"/>
        </w:rPr>
        <w:t>4、住房保障支出0.93万元，主要用于职工缴纳住房公积金。（上年此项资金不在部门单位预算体现）</w:t>
      </w:r>
    </w:p>
    <w:p>
      <w:pPr>
        <w:widowControl w:val="0"/>
        <w:ind w:left="-15" w:leftChars="-7" w:firstLine="652" w:firstLineChars="204"/>
        <w:textAlignment w:val="auto"/>
        <w:rPr>
          <w:rFonts w:ascii="仿宋_GB2312" w:hAnsi="仿宋" w:eastAsia="仿宋_GB2312"/>
          <w:sz w:val="32"/>
          <w:szCs w:val="32"/>
        </w:rPr>
      </w:pPr>
      <w:r>
        <w:rPr>
          <w:rFonts w:hint="eastAsia" w:ascii="仿宋_GB2312" w:hAnsi="仿宋" w:eastAsia="仿宋_GB2312"/>
          <w:sz w:val="32"/>
          <w:szCs w:val="32"/>
        </w:rPr>
        <w:t>6、基本支出预算数为180.23万元，与上年相比增加58.61万元，增加48.2%，主要原因是2021年预算中在职人员“四险两金”数增加（此项预算2020年未在本部门体现）。项目支出预算数为13.12万元，与上年相比减少56.99万元， 减少81%，主要原因是根据工作安排，大幅缩减项目支出。</w:t>
      </w:r>
    </w:p>
    <w:p>
      <w:pPr>
        <w:widowControl w:val="0"/>
        <w:ind w:left="-15" w:leftChars="-7" w:firstLine="655" w:firstLineChars="204"/>
        <w:textAlignment w:val="auto"/>
        <w:rPr>
          <w:rFonts w:ascii="仿宋_GB2312" w:hAnsi="仿宋" w:eastAsia="仿宋_GB2312"/>
          <w:b/>
          <w:bCs/>
          <w:sz w:val="32"/>
          <w:szCs w:val="32"/>
        </w:rPr>
      </w:pPr>
      <w:r>
        <w:rPr>
          <w:rFonts w:hint="eastAsia" w:ascii="仿宋_GB2312" w:hAnsi="仿宋" w:eastAsia="仿宋_GB2312"/>
          <w:b/>
          <w:bCs/>
          <w:sz w:val="32"/>
          <w:szCs w:val="32"/>
        </w:rPr>
        <w:t>二、收入预算情况说明</w:t>
      </w:r>
    </w:p>
    <w:p>
      <w:pPr>
        <w:widowControl w:val="0"/>
        <w:ind w:left="-15" w:leftChars="-7" w:firstLine="652" w:firstLineChars="204"/>
        <w:textAlignment w:val="auto"/>
        <w:rPr>
          <w:rFonts w:ascii="仿宋_GB2312" w:hAnsi="仿宋" w:eastAsia="仿宋_GB2312"/>
          <w:sz w:val="32"/>
          <w:szCs w:val="32"/>
        </w:rPr>
      </w:pPr>
      <w:r>
        <w:rPr>
          <w:rFonts w:hint="eastAsia" w:ascii="仿宋_GB2312" w:hAnsi="仿宋" w:eastAsia="仿宋_GB2312"/>
          <w:sz w:val="32"/>
          <w:szCs w:val="32"/>
        </w:rPr>
        <w:t>曲沃县供销社本年收入预算合计193.35万元，其中：一般公共预算收入193.35万元，占100%。</w:t>
      </w:r>
    </w:p>
    <w:p>
      <w:pPr>
        <w:widowControl w:val="0"/>
        <w:ind w:left="-15" w:leftChars="-7" w:firstLine="655" w:firstLineChars="204"/>
        <w:textAlignment w:val="auto"/>
        <w:rPr>
          <w:rFonts w:ascii="仿宋_GB2312" w:hAnsi="仿宋" w:eastAsia="仿宋_GB2312"/>
          <w:b/>
          <w:bCs/>
          <w:sz w:val="32"/>
          <w:szCs w:val="32"/>
        </w:rPr>
      </w:pPr>
      <w:r>
        <w:rPr>
          <w:rFonts w:hint="eastAsia" w:ascii="仿宋_GB2312" w:hAnsi="仿宋" w:eastAsia="仿宋_GB2312"/>
          <w:b/>
          <w:bCs/>
          <w:sz w:val="32"/>
          <w:szCs w:val="32"/>
        </w:rPr>
        <w:t>三、支出预算情况说明</w:t>
      </w:r>
    </w:p>
    <w:p>
      <w:pPr>
        <w:widowControl w:val="0"/>
        <w:ind w:left="-15" w:leftChars="-7" w:firstLine="16" w:firstLineChars="5"/>
        <w:textAlignment w:val="auto"/>
        <w:rPr>
          <w:rFonts w:hint="eastAsia" w:ascii="仿宋_GB2312" w:hAnsi="仿宋" w:eastAsia="仿宋_GB2312"/>
          <w:sz w:val="32"/>
          <w:szCs w:val="32"/>
        </w:rPr>
      </w:pPr>
      <w:r>
        <w:rPr>
          <w:rFonts w:hint="eastAsia" w:ascii="仿宋_GB2312" w:hAnsi="仿宋" w:eastAsia="仿宋_GB2312"/>
          <w:sz w:val="32"/>
          <w:szCs w:val="32"/>
        </w:rPr>
        <w:t xml:space="preserve">    曲沃县供销社本年支出预算合计193.35万元，其中：基本支出180.23万元，占93.21%；项目支出13.12万元，占6.79%。</w:t>
      </w:r>
    </w:p>
    <w:p>
      <w:pPr>
        <w:widowControl w:val="0"/>
        <w:numPr>
          <w:ilvl w:val="0"/>
          <w:numId w:val="5"/>
        </w:numPr>
        <w:textAlignment w:val="auto"/>
        <w:rPr>
          <w:rFonts w:hint="eastAsia" w:ascii="仿宋_GB2312" w:hAnsi="仿宋" w:eastAsia="仿宋_GB2312"/>
          <w:b/>
          <w:bCs/>
          <w:sz w:val="32"/>
          <w:szCs w:val="32"/>
        </w:rPr>
      </w:pPr>
      <w:r>
        <w:rPr>
          <w:rFonts w:hint="eastAsia" w:ascii="仿宋_GB2312" w:hAnsi="仿宋" w:eastAsia="仿宋_GB2312"/>
          <w:b/>
          <w:bCs/>
          <w:sz w:val="32"/>
          <w:szCs w:val="32"/>
        </w:rPr>
        <w:t>财政拨款收支预算总体情况说明</w:t>
      </w:r>
    </w:p>
    <w:p>
      <w:pPr>
        <w:widowControl w:val="0"/>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曲沃县供销社2021年财政拨款收、支总预算193.35万元。与上年相比收、支预算总计各增加1.65万元，增加0.9%。2021年预算中基本支出在职人员“四险两金”数增加（此项预算2020年未在本部门体现）。</w:t>
      </w:r>
    </w:p>
    <w:p>
      <w:pPr>
        <w:widowControl w:val="0"/>
        <w:numPr>
          <w:ilvl w:val="0"/>
          <w:numId w:val="5"/>
        </w:numPr>
        <w:textAlignment w:val="auto"/>
        <w:rPr>
          <w:rFonts w:hint="eastAsia" w:ascii="仿宋_GB2312" w:hAnsi="仿宋" w:eastAsia="仿宋_GB2312"/>
          <w:b/>
          <w:bCs/>
          <w:sz w:val="32"/>
          <w:szCs w:val="32"/>
        </w:rPr>
      </w:pPr>
      <w:r>
        <w:rPr>
          <w:rFonts w:hint="eastAsia" w:ascii="仿宋_GB2312" w:hAnsi="仿宋" w:eastAsia="仿宋_GB2312"/>
          <w:b/>
          <w:bCs/>
          <w:sz w:val="32"/>
          <w:szCs w:val="32"/>
        </w:rPr>
        <w:t>一般公共预算支出预算情况说明</w:t>
      </w:r>
    </w:p>
    <w:p>
      <w:pPr>
        <w:widowControl w:val="0"/>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曲沃县供销社2021年一般公共预算支出预算193.35万元与上年相比增加1.65万元，增加0.9%。主要原因是2021年预算中在职人员“四险两金”数增加（此项预算2020年未在本部门体现）。</w:t>
      </w:r>
    </w:p>
    <w:p>
      <w:pPr>
        <w:widowControl w:val="0"/>
        <w:numPr>
          <w:ilvl w:val="0"/>
          <w:numId w:val="5"/>
        </w:numPr>
        <w:textAlignment w:val="auto"/>
        <w:rPr>
          <w:rFonts w:hint="eastAsia" w:ascii="仿宋_GB2312" w:hAnsi="仿宋" w:eastAsia="仿宋_GB2312"/>
          <w:b/>
          <w:bCs/>
          <w:sz w:val="32"/>
          <w:szCs w:val="32"/>
        </w:rPr>
      </w:pPr>
      <w:r>
        <w:rPr>
          <w:rFonts w:hint="eastAsia" w:ascii="仿宋_GB2312" w:hAnsi="仿宋" w:eastAsia="仿宋_GB2312"/>
          <w:b/>
          <w:bCs/>
          <w:sz w:val="32"/>
          <w:szCs w:val="32"/>
        </w:rPr>
        <w:t>一般公共预算基本支出预算情况说明</w:t>
      </w:r>
    </w:p>
    <w:p>
      <w:pPr>
        <w:widowControl w:val="0"/>
        <w:numPr>
          <w:ilvl w:val="0"/>
          <w:numId w:val="6"/>
        </w:numPr>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人员经费177.61万元。主要包括：基本工资68.22万元、津贴补贴9.93万元、奖金0.4万元、绩效工资37.01万元、社会保险缴费36.24万元、住房公积金12.31万元、对个人和家庭补助13.50万元。</w:t>
      </w:r>
    </w:p>
    <w:p>
      <w:pPr>
        <w:widowControl w:val="0"/>
        <w:numPr>
          <w:ilvl w:val="0"/>
          <w:numId w:val="6"/>
        </w:numPr>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公用经费15.74万元。主要包括办公费4.8万元、水费0.1万元、取暖费1万元、电费1.5万元、差旅费1万元、委托业务费2万元、工会经费1.17万元、福利费3.42万元、其他交通费用0.75万元。</w:t>
      </w:r>
    </w:p>
    <w:p>
      <w:pPr>
        <w:widowControl w:val="0"/>
        <w:numPr>
          <w:ilvl w:val="0"/>
          <w:numId w:val="5"/>
        </w:numPr>
        <w:textAlignment w:val="auto"/>
        <w:rPr>
          <w:rFonts w:hint="eastAsia" w:ascii="仿宋_GB2312" w:hAnsi="仿宋" w:eastAsia="仿宋_GB2312"/>
          <w:b/>
          <w:bCs/>
          <w:sz w:val="32"/>
          <w:szCs w:val="32"/>
        </w:rPr>
      </w:pPr>
      <w:r>
        <w:rPr>
          <w:rFonts w:hint="eastAsia" w:ascii="仿宋_GB2312" w:hAnsi="仿宋" w:eastAsia="仿宋_GB2312"/>
          <w:b/>
          <w:bCs/>
          <w:sz w:val="32"/>
          <w:szCs w:val="32"/>
        </w:rPr>
        <w:t>政府性基金预算支出预算情况说明</w:t>
      </w:r>
    </w:p>
    <w:p>
      <w:pPr>
        <w:widowControl w:val="0"/>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2021年我单位无此项预算</w:t>
      </w:r>
    </w:p>
    <w:p>
      <w:pPr>
        <w:widowControl w:val="0"/>
        <w:numPr>
          <w:ilvl w:val="0"/>
          <w:numId w:val="5"/>
        </w:numPr>
        <w:textAlignment w:val="auto"/>
        <w:rPr>
          <w:rFonts w:hint="eastAsia" w:ascii="仿宋_GB2312" w:hAnsi="仿宋" w:eastAsia="仿宋_GB2312"/>
          <w:b/>
          <w:bCs/>
          <w:sz w:val="32"/>
          <w:szCs w:val="32"/>
        </w:rPr>
      </w:pPr>
      <w:r>
        <w:rPr>
          <w:rFonts w:hint="eastAsia" w:ascii="仿宋_GB2312" w:hAnsi="仿宋" w:eastAsia="仿宋_GB2312"/>
          <w:b/>
          <w:bCs/>
          <w:sz w:val="32"/>
          <w:szCs w:val="32"/>
        </w:rPr>
        <w:t>一般公共预算“三公”经费预算情况说明</w:t>
      </w:r>
    </w:p>
    <w:p>
      <w:pPr>
        <w:widowControl w:val="0"/>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2021年我单位无此项预算</w:t>
      </w:r>
    </w:p>
    <w:p>
      <w:pPr>
        <w:widowControl w:val="0"/>
        <w:numPr>
          <w:ilvl w:val="0"/>
          <w:numId w:val="5"/>
        </w:numPr>
        <w:textAlignment w:val="auto"/>
        <w:rPr>
          <w:rFonts w:hint="eastAsia" w:ascii="仿宋_GB2312" w:hAnsi="仿宋" w:eastAsia="仿宋_GB2312"/>
          <w:b/>
          <w:bCs/>
          <w:sz w:val="32"/>
          <w:szCs w:val="32"/>
        </w:rPr>
      </w:pPr>
      <w:r>
        <w:rPr>
          <w:rFonts w:hint="eastAsia" w:ascii="仿宋_GB2312" w:hAnsi="仿宋" w:eastAsia="仿宋_GB2312"/>
          <w:b/>
          <w:bCs/>
          <w:sz w:val="32"/>
          <w:szCs w:val="32"/>
        </w:rPr>
        <w:t>一般公共预算机关运行经费支出预算情况说明</w:t>
      </w:r>
    </w:p>
    <w:p>
      <w:pPr>
        <w:widowControl w:val="0"/>
        <w:ind w:firstLine="640"/>
        <w:textAlignment w:val="auto"/>
        <w:rPr>
          <w:rFonts w:hint="eastAsia" w:ascii="仿宋_GB2312" w:hAnsi="仿宋" w:eastAsia="仿宋_GB2312"/>
          <w:sz w:val="32"/>
          <w:szCs w:val="32"/>
        </w:rPr>
      </w:pPr>
      <w:r>
        <w:rPr>
          <w:rFonts w:hint="eastAsia" w:ascii="仿宋_GB2312" w:hAnsi="仿宋" w:eastAsia="仿宋_GB2312"/>
          <w:sz w:val="32"/>
          <w:szCs w:val="32"/>
        </w:rPr>
        <w:t>2021年本部门一般公共预算机关运行经费预算支出15.74万元，与上年相比减少5.63万元，减少26.36%，主要原因是人员经费定额标准设置后机关运行经费下降。</w:t>
      </w:r>
    </w:p>
    <w:p>
      <w:pPr>
        <w:widowControl w:val="0"/>
        <w:numPr>
          <w:ilvl w:val="0"/>
          <w:numId w:val="5"/>
        </w:numPr>
        <w:textAlignment w:val="auto"/>
        <w:rPr>
          <w:rFonts w:hint="eastAsia" w:ascii="仿宋_GB2312" w:hAnsi="仿宋" w:eastAsia="仿宋_GB2312"/>
          <w:b/>
          <w:bCs/>
          <w:sz w:val="32"/>
          <w:szCs w:val="32"/>
        </w:rPr>
      </w:pPr>
      <w:r>
        <w:rPr>
          <w:rFonts w:hint="eastAsia" w:ascii="仿宋_GB2312" w:hAnsi="仿宋" w:eastAsia="仿宋_GB2312"/>
          <w:b/>
          <w:bCs/>
          <w:sz w:val="32"/>
          <w:szCs w:val="32"/>
        </w:rPr>
        <w:t>政府采购支出预算情况说明</w:t>
      </w:r>
    </w:p>
    <w:p>
      <w:pPr>
        <w:widowControl w:val="0"/>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2021年我单位无此项预算</w:t>
      </w:r>
    </w:p>
    <w:p>
      <w:pPr>
        <w:widowControl w:val="0"/>
        <w:numPr>
          <w:ilvl w:val="0"/>
          <w:numId w:val="5"/>
        </w:numPr>
        <w:textAlignment w:val="auto"/>
        <w:rPr>
          <w:rFonts w:hint="eastAsia" w:ascii="仿宋_GB2312" w:hAnsi="仿宋" w:eastAsia="仿宋_GB2312"/>
          <w:b/>
          <w:bCs/>
          <w:sz w:val="32"/>
          <w:szCs w:val="32"/>
        </w:rPr>
      </w:pPr>
      <w:r>
        <w:rPr>
          <w:rFonts w:hint="eastAsia" w:ascii="仿宋_GB2312" w:hAnsi="仿宋" w:eastAsia="仿宋_GB2312"/>
          <w:b/>
          <w:bCs/>
          <w:sz w:val="32"/>
          <w:szCs w:val="32"/>
        </w:rPr>
        <w:t>国有资产占用情况</w:t>
      </w:r>
    </w:p>
    <w:p>
      <w:pPr>
        <w:widowControl w:val="0"/>
        <w:ind w:firstLine="640"/>
        <w:textAlignment w:val="auto"/>
        <w:rPr>
          <w:rFonts w:hint="eastAsia" w:ascii="仿宋_GB2312" w:hAnsi="仿宋" w:eastAsia="仿宋_GB2312"/>
          <w:sz w:val="32"/>
          <w:szCs w:val="32"/>
        </w:rPr>
      </w:pPr>
      <w:r>
        <w:rPr>
          <w:rFonts w:hint="eastAsia" w:ascii="仿宋_GB2312" w:hAnsi="仿宋" w:eastAsia="仿宋_GB2312"/>
          <w:sz w:val="32"/>
          <w:szCs w:val="32"/>
        </w:rPr>
        <w:t>本部门共有车辆0辆，其中：一般公务用车0辆、执法执勤用车0辆、特种专业技术用车0辆、其他用车0辆。</w:t>
      </w:r>
    </w:p>
    <w:p>
      <w:pPr>
        <w:widowControl w:val="0"/>
        <w:ind w:firstLine="640"/>
        <w:textAlignment w:val="auto"/>
        <w:rPr>
          <w:rFonts w:ascii="仿宋_GB2312" w:hAnsi="仿宋" w:eastAsia="仿宋_GB2312"/>
          <w:sz w:val="32"/>
          <w:szCs w:val="32"/>
        </w:rPr>
      </w:pPr>
      <w:r>
        <w:rPr>
          <w:rFonts w:hint="eastAsia" w:ascii="仿宋_GB2312" w:hAnsi="仿宋" w:eastAsia="仿宋_GB2312"/>
          <w:sz w:val="32"/>
          <w:szCs w:val="32"/>
        </w:rPr>
        <w:t>本部门办公用房面积：1474.8平方米</w:t>
      </w:r>
    </w:p>
    <w:p>
      <w:pPr>
        <w:widowControl w:val="0"/>
        <w:numPr>
          <w:ilvl w:val="0"/>
          <w:numId w:val="5"/>
        </w:numPr>
        <w:textAlignment w:val="auto"/>
        <w:rPr>
          <w:rFonts w:hint="eastAsia" w:ascii="仿宋_GB2312" w:hAnsi="仿宋" w:eastAsia="仿宋_GB2312"/>
          <w:b/>
          <w:bCs/>
          <w:sz w:val="32"/>
          <w:szCs w:val="32"/>
        </w:rPr>
      </w:pPr>
      <w:r>
        <w:rPr>
          <w:rFonts w:hint="eastAsia" w:ascii="仿宋_GB2312" w:hAnsi="仿宋" w:eastAsia="仿宋_GB2312"/>
          <w:b/>
          <w:bCs/>
          <w:sz w:val="32"/>
          <w:szCs w:val="32"/>
        </w:rPr>
        <w:t>预算绩效目标设置情况说明</w:t>
      </w:r>
    </w:p>
    <w:p>
      <w:pPr>
        <w:widowControl w:val="0"/>
        <w:ind w:firstLine="640"/>
        <w:textAlignment w:val="auto"/>
        <w:rPr>
          <w:rFonts w:hint="eastAsia" w:ascii="仿宋_GB2312" w:hAnsi="仿宋" w:eastAsia="仿宋_GB2312"/>
          <w:sz w:val="32"/>
          <w:szCs w:val="32"/>
        </w:rPr>
      </w:pPr>
      <w:r>
        <w:rPr>
          <w:rFonts w:hint="eastAsia" w:ascii="仿宋_GB2312" w:hAnsi="仿宋" w:eastAsia="仿宋_GB2312"/>
          <w:sz w:val="32"/>
          <w:szCs w:val="32"/>
        </w:rPr>
        <w:t>2021年度，本部门单位共3个项目纳入绩效目标管理，涉及财政性资金合计13.12万元。</w:t>
      </w:r>
    </w:p>
    <w:p>
      <w:pPr>
        <w:widowControl w:val="0"/>
        <w:numPr>
          <w:ilvl w:val="0"/>
          <w:numId w:val="5"/>
        </w:numPr>
        <w:textAlignment w:val="auto"/>
        <w:rPr>
          <w:rFonts w:hint="eastAsia" w:ascii="仿宋_GB2312" w:hAnsi="仿宋" w:eastAsia="仿宋_GB2312"/>
          <w:b/>
          <w:bCs/>
          <w:sz w:val="32"/>
          <w:szCs w:val="32"/>
        </w:rPr>
      </w:pPr>
      <w:r>
        <w:rPr>
          <w:rFonts w:hint="eastAsia" w:ascii="仿宋_GB2312" w:hAnsi="仿宋" w:eastAsia="仿宋_GB2312"/>
          <w:b/>
          <w:bCs/>
          <w:sz w:val="32"/>
          <w:szCs w:val="32"/>
        </w:rPr>
        <w:t>其他说明</w:t>
      </w:r>
    </w:p>
    <w:p>
      <w:pPr>
        <w:jc w:val="center"/>
        <w:rPr>
          <w:rStyle w:val="8"/>
          <w:rFonts w:hint="eastAsia" w:ascii="黑体" w:hAnsi="仿宋" w:eastAsia="黑体"/>
          <w:sz w:val="32"/>
          <w:szCs w:val="32"/>
        </w:rPr>
      </w:pPr>
      <w:r>
        <w:rPr>
          <w:rFonts w:hint="eastAsia" w:ascii="仿宋_GB2312" w:hAnsi="仿宋" w:eastAsia="仿宋_GB2312"/>
          <w:sz w:val="32"/>
          <w:szCs w:val="32"/>
        </w:rPr>
        <w:t xml:space="preserve">    我单位无其他需要说明的事项，未使用政府债券资金。</w:t>
      </w:r>
    </w:p>
    <w:p>
      <w:pPr>
        <w:widowControl w:val="0"/>
        <w:jc w:val="center"/>
        <w:textAlignment w:val="auto"/>
        <w:rPr>
          <w:rFonts w:hint="eastAsia" w:ascii="黑体" w:hAnsi="黑体" w:eastAsia="黑体" w:cs="黑体"/>
          <w:sz w:val="32"/>
          <w:szCs w:val="32"/>
        </w:rPr>
      </w:pPr>
    </w:p>
    <w:p>
      <w:pPr>
        <w:widowControl w:val="0"/>
        <w:jc w:val="center"/>
        <w:textAlignment w:val="auto"/>
        <w:rPr>
          <w:rFonts w:hint="eastAsia" w:ascii="黑体" w:hAnsi="黑体" w:eastAsia="黑体" w:cs="黑体"/>
          <w:sz w:val="32"/>
          <w:szCs w:val="32"/>
        </w:rPr>
      </w:pPr>
      <w:r>
        <w:rPr>
          <w:rFonts w:hint="eastAsia" w:ascii="黑体" w:hAnsi="黑体" w:eastAsia="黑体" w:cs="黑体"/>
          <w:sz w:val="32"/>
          <w:szCs w:val="32"/>
        </w:rPr>
        <w:t>第四部分名词解释</w:t>
      </w:r>
    </w:p>
    <w:p>
      <w:pPr>
        <w:widowControl w:val="0"/>
        <w:numPr>
          <w:ilvl w:val="0"/>
          <w:numId w:val="7"/>
        </w:numPr>
        <w:ind w:firstLine="640"/>
        <w:textAlignment w:val="auto"/>
        <w:rPr>
          <w:rFonts w:hint="eastAsia" w:ascii="仿宋_GB2312" w:hAnsi="仿宋" w:eastAsia="仿宋_GB2312"/>
          <w:sz w:val="32"/>
          <w:szCs w:val="32"/>
        </w:rPr>
      </w:pPr>
      <w:r>
        <w:rPr>
          <w:rFonts w:hint="eastAsia" w:ascii="仿宋_GB2312" w:hAnsi="仿宋" w:eastAsia="仿宋_GB2312"/>
          <w:sz w:val="32"/>
          <w:szCs w:val="32"/>
        </w:rPr>
        <w:t>财政拨款：指一般公共预算财政拨款、政府性基金预算财政拨款和国有资本经营预算拨款。</w:t>
      </w:r>
    </w:p>
    <w:p>
      <w:pPr>
        <w:widowControl w:val="0"/>
        <w:numPr>
          <w:ilvl w:val="0"/>
          <w:numId w:val="7"/>
        </w:numPr>
        <w:ind w:firstLine="640"/>
        <w:textAlignment w:val="auto"/>
        <w:rPr>
          <w:rFonts w:ascii="仿宋_GB2312" w:hAnsi="仿宋" w:eastAsia="仿宋_GB2312"/>
          <w:sz w:val="32"/>
          <w:szCs w:val="32"/>
        </w:rPr>
      </w:pPr>
      <w:r>
        <w:rPr>
          <w:rFonts w:hint="eastAsia" w:ascii="仿宋_GB2312" w:hAnsi="仿宋" w:eastAsia="仿宋_GB2312"/>
          <w:sz w:val="32"/>
          <w:szCs w:val="32"/>
        </w:rPr>
        <w:t>单位资金收入：包括事业收入、事业单位经营收入、上级补助收入、附属单位上缴收入、其他收入等。</w:t>
      </w:r>
    </w:p>
    <w:p>
      <w:pPr>
        <w:widowControl w:val="0"/>
        <w:numPr>
          <w:ilvl w:val="0"/>
          <w:numId w:val="7"/>
        </w:numPr>
        <w:ind w:firstLine="640"/>
        <w:textAlignment w:val="auto"/>
        <w:rPr>
          <w:rFonts w:ascii="仿宋_GB2312" w:hAnsi="仿宋" w:eastAsia="仿宋_GB2312"/>
          <w:sz w:val="32"/>
          <w:szCs w:val="32"/>
        </w:rPr>
      </w:pPr>
      <w:r>
        <w:rPr>
          <w:rFonts w:hint="eastAsia" w:ascii="仿宋_GB2312" w:hAnsi="仿宋" w:eastAsia="仿宋_GB2312"/>
          <w:sz w:val="32"/>
          <w:szCs w:val="32"/>
        </w:rPr>
        <w:t>基本支出：指为保障机构正常运转、完成工作任务而发生的人员指出和公用支出。</w:t>
      </w:r>
    </w:p>
    <w:p>
      <w:pPr>
        <w:widowControl w:val="0"/>
        <w:numPr>
          <w:ilvl w:val="0"/>
          <w:numId w:val="7"/>
        </w:numPr>
        <w:ind w:firstLine="640"/>
        <w:textAlignment w:val="auto"/>
        <w:rPr>
          <w:rFonts w:ascii="仿宋_GB2312" w:hAnsi="仿宋" w:eastAsia="仿宋_GB2312"/>
          <w:sz w:val="32"/>
          <w:szCs w:val="32"/>
        </w:rPr>
      </w:pPr>
      <w:r>
        <w:rPr>
          <w:rFonts w:hint="eastAsia" w:ascii="仿宋_GB2312" w:hAnsi="仿宋" w:eastAsia="仿宋_GB2312"/>
          <w:sz w:val="32"/>
          <w:szCs w:val="32"/>
        </w:rPr>
        <w:t>项目支出：指在基本支出之外为完成特定工作任务和事业发展目标所发生的支出。</w:t>
      </w:r>
    </w:p>
    <w:p>
      <w:pPr>
        <w:widowControl w:val="0"/>
        <w:numPr>
          <w:ilvl w:val="0"/>
          <w:numId w:val="7"/>
        </w:numPr>
        <w:ind w:firstLine="640"/>
        <w:textAlignment w:val="auto"/>
        <w:rPr>
          <w:rFonts w:ascii="仿宋_GB2312" w:hAnsi="仿宋" w:eastAsia="仿宋_GB2312"/>
          <w:sz w:val="32"/>
          <w:szCs w:val="32"/>
        </w:rPr>
      </w:pPr>
      <w:r>
        <w:rPr>
          <w:rFonts w:hint="eastAsia" w:ascii="仿宋_GB2312" w:hAnsi="仿宋" w:eastAsia="仿宋_GB2312"/>
          <w:sz w:val="32"/>
          <w:szCs w:val="32"/>
        </w:rPr>
        <w:t>“三公”经费：指部门用一般公共预算财政拨款安排的因公出国（境）费、公务用车购置及运行费和公务接待费。其中，因公出国（境）费反映单位公务出国（境）的住宿费、差旅费、伙食补助费、杂费、培训费等支出；公务用车购置及运行费反映单位公务用车购置费、燃料费、维修费、过路过桥费、保险费、安全奖励费用等支出；公务接待费反映单位按规定开支的各类公务接待（含外宾接待）支出。</w:t>
      </w:r>
    </w:p>
    <w:p>
      <w:pPr>
        <w:widowControl w:val="0"/>
        <w:numPr>
          <w:ilvl w:val="0"/>
          <w:numId w:val="7"/>
        </w:numPr>
        <w:ind w:firstLine="640"/>
        <w:textAlignment w:val="auto"/>
        <w:rPr>
          <w:rFonts w:ascii="仿宋_GB2312" w:hAnsi="仿宋" w:eastAsia="仿宋_GB2312"/>
          <w:sz w:val="32"/>
          <w:szCs w:val="32"/>
        </w:rPr>
      </w:pPr>
      <w:r>
        <w:rPr>
          <w:rFonts w:hint="eastAsia" w:ascii="仿宋_GB2312" w:hAnsi="仿宋" w:eastAsia="仿宋_GB2312"/>
          <w:sz w:val="32"/>
          <w:szCs w:val="32"/>
        </w:rPr>
        <w:t>机关运行经费：指行政单位（含参照公务员法管理的事业单位）使用一般公共预算安排的基本支出中的日常公用经费支出，包括办公及印刷费、邮电费、差旅费、会议费、福利费、日常维护费、专用材料及一般设备购置费、办公用房水电费、办公用房取暖费、办公用房物业管理费、公务用车运行维护费及其他费用。</w:t>
      </w:r>
    </w:p>
    <w:p>
      <w:pPr>
        <w:widowControl w:val="0"/>
        <w:jc w:val="center"/>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p>
    <w:p>
      <w:pPr>
        <w:widowControl w:val="0"/>
        <w:jc w:val="center"/>
        <w:textAlignment w:val="auto"/>
        <w:rPr>
          <w:rFonts w:hint="eastAsia" w:ascii="仿宋_GB2312" w:hAnsi="仿宋" w:eastAsia="仿宋_GB2312"/>
          <w:sz w:val="32"/>
          <w:szCs w:val="32"/>
        </w:rPr>
      </w:pPr>
    </w:p>
    <w:p>
      <w:pPr>
        <w:widowControl w:val="0"/>
        <w:jc w:val="center"/>
        <w:textAlignment w:val="auto"/>
        <w:rPr>
          <w:rFonts w:hint="eastAsia" w:ascii="仿宋_GB2312" w:hAnsi="仿宋" w:eastAsia="仿宋_GB2312"/>
          <w:sz w:val="32"/>
          <w:szCs w:val="32"/>
        </w:rPr>
      </w:pPr>
    </w:p>
    <w:p>
      <w:pPr>
        <w:widowControl w:val="0"/>
        <w:jc w:val="center"/>
        <w:textAlignment w:val="auto"/>
        <w:rPr>
          <w:rFonts w:hint="eastAsia" w:ascii="仿宋_GB2312" w:hAnsi="仿宋" w:eastAsia="仿宋_GB2312"/>
          <w:sz w:val="32"/>
          <w:szCs w:val="32"/>
        </w:rPr>
      </w:pPr>
    </w:p>
    <w:p>
      <w:pPr>
        <w:widowControl w:val="0"/>
        <w:jc w:val="center"/>
        <w:textAlignment w:val="auto"/>
        <w:rPr>
          <w:rFonts w:hint="eastAsia" w:ascii="仿宋_GB2312" w:hAnsi="仿宋" w:eastAsia="仿宋_GB2312"/>
          <w:sz w:val="32"/>
          <w:szCs w:val="32"/>
        </w:rPr>
      </w:pPr>
    </w:p>
    <w:p>
      <w:pPr>
        <w:widowControl w:val="0"/>
        <w:jc w:val="center"/>
        <w:textAlignment w:val="auto"/>
        <w:rPr>
          <w:rFonts w:hint="eastAsia" w:ascii="仿宋_GB2312" w:hAnsi="仿宋" w:eastAsia="仿宋_GB2312"/>
          <w:sz w:val="32"/>
          <w:szCs w:val="32"/>
        </w:rPr>
      </w:pPr>
    </w:p>
    <w:p>
      <w:pPr>
        <w:widowControl w:val="0"/>
        <w:jc w:val="right"/>
        <w:textAlignment w:val="auto"/>
        <w:rPr>
          <w:rFonts w:hint="eastAsia" w:ascii="仿宋_GB2312" w:hAnsi="仿宋" w:eastAsia="仿宋_GB2312"/>
          <w:sz w:val="32"/>
          <w:szCs w:val="32"/>
        </w:rPr>
      </w:pPr>
      <w:r>
        <w:rPr>
          <w:rFonts w:hint="eastAsia" w:ascii="仿宋_GB2312" w:hAnsi="仿宋" w:eastAsia="仿宋_GB2312"/>
          <w:sz w:val="32"/>
          <w:szCs w:val="32"/>
        </w:rPr>
        <w:t xml:space="preserve"> 曲沃县供销社联合社</w:t>
      </w:r>
    </w:p>
    <w:p>
      <w:pPr>
        <w:widowControl w:val="0"/>
        <w:jc w:val="right"/>
        <w:textAlignment w:val="auto"/>
        <w:rPr>
          <w:rStyle w:val="8"/>
          <w:rFonts w:ascii="仿宋_GB2312" w:hAnsi="仿宋" w:eastAsia="仿宋_GB2312"/>
          <w:sz w:val="32"/>
          <w:szCs w:val="32"/>
        </w:rPr>
      </w:pPr>
      <w:r>
        <w:rPr>
          <w:rFonts w:hint="eastAsia" w:ascii="仿宋_GB2312" w:hAnsi="仿宋" w:eastAsia="仿宋_GB2312"/>
          <w:sz w:val="32"/>
          <w:szCs w:val="32"/>
        </w:rPr>
        <w:t>2021年4月28日</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Arial">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pPr>
        <w:ind w:left="640" w:firstLine="0"/>
      </w:p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abstractNum w:abstractNumId="2">
    <w:nsid w:val="00000003"/>
    <w:multiLevelType w:val="singleLevel"/>
    <w:tmpl w:val="00000003"/>
    <w:lvl w:ilvl="0" w:tentative="0">
      <w:start w:val="1"/>
      <w:numFmt w:val="chineseCounting"/>
      <w:suff w:val="nothing"/>
      <w:lvlText w:val="（%1）"/>
      <w:lvlJc w:val="left"/>
      <w:rPr>
        <w:rFonts w:hint="eastAsia"/>
      </w:rPr>
    </w:lvl>
  </w:abstractNum>
  <w:abstractNum w:abstractNumId="3">
    <w:nsid w:val="00000004"/>
    <w:multiLevelType w:val="singleLevel"/>
    <w:tmpl w:val="00000004"/>
    <w:lvl w:ilvl="0" w:tentative="0">
      <w:start w:val="4"/>
      <w:numFmt w:val="chineseCounting"/>
      <w:suff w:val="nothing"/>
      <w:lvlText w:val="%1、"/>
      <w:lvlJc w:val="left"/>
      <w:pPr>
        <w:ind w:left="641" w:firstLine="0"/>
      </w:pPr>
      <w:rPr>
        <w:rFonts w:hint="eastAsia"/>
      </w:rPr>
    </w:lvl>
  </w:abstractNum>
  <w:abstractNum w:abstractNumId="4">
    <w:nsid w:val="00000005"/>
    <w:multiLevelType w:val="singleLevel"/>
    <w:tmpl w:val="00000005"/>
    <w:lvl w:ilvl="0" w:tentative="0">
      <w:start w:val="1"/>
      <w:numFmt w:val="decimal"/>
      <w:suff w:val="nothing"/>
      <w:lvlText w:val="（%1）"/>
      <w:lvlJc w:val="left"/>
    </w:lvl>
  </w:abstractNum>
  <w:abstractNum w:abstractNumId="5">
    <w:nsid w:val="00000008"/>
    <w:multiLevelType w:val="singleLevel"/>
    <w:tmpl w:val="00000008"/>
    <w:lvl w:ilvl="0" w:tentative="0">
      <w:start w:val="1"/>
      <w:numFmt w:val="chineseCounting"/>
      <w:suff w:val="nothing"/>
      <w:lvlText w:val="（%1）"/>
      <w:lvlJc w:val="left"/>
      <w:pPr>
        <w:ind w:left="640" w:firstLine="0"/>
      </w:pPr>
      <w:rPr>
        <w:rFonts w:hint="eastAsia"/>
      </w:rPr>
    </w:lvl>
  </w:abstractNum>
  <w:abstractNum w:abstractNumId="6">
    <w:nsid w:val="00000009"/>
    <w:multiLevelType w:val="singleLevel"/>
    <w:tmpl w:val="00000009"/>
    <w:lvl w:ilvl="0" w:tentative="0">
      <w:start w:val="1"/>
      <w:numFmt w:val="decimal"/>
      <w:suff w:val="nothing"/>
      <w:lvlText w:val="%1、"/>
      <w:lvlJc w:val="left"/>
      <w:pPr>
        <w:ind w:left="640" w:firstLine="0"/>
      </w:p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FA"/>
    <w:rsid w:val="00034DD4"/>
    <w:rsid w:val="000A68EC"/>
    <w:rsid w:val="000B4CA7"/>
    <w:rsid w:val="000C2B16"/>
    <w:rsid w:val="000D249F"/>
    <w:rsid w:val="000F6EAD"/>
    <w:rsid w:val="00216D32"/>
    <w:rsid w:val="003260E7"/>
    <w:rsid w:val="0051487A"/>
    <w:rsid w:val="00537353"/>
    <w:rsid w:val="00673236"/>
    <w:rsid w:val="006C56EF"/>
    <w:rsid w:val="00732EB2"/>
    <w:rsid w:val="007D2884"/>
    <w:rsid w:val="008149A6"/>
    <w:rsid w:val="00874556"/>
    <w:rsid w:val="008B22B6"/>
    <w:rsid w:val="008D573F"/>
    <w:rsid w:val="008F5EC0"/>
    <w:rsid w:val="00956F5C"/>
    <w:rsid w:val="00991CB8"/>
    <w:rsid w:val="009B2CC9"/>
    <w:rsid w:val="009E15D0"/>
    <w:rsid w:val="00AE0241"/>
    <w:rsid w:val="00AE700F"/>
    <w:rsid w:val="00B659FA"/>
    <w:rsid w:val="00C73275"/>
    <w:rsid w:val="00D31EFA"/>
    <w:rsid w:val="00D6166C"/>
    <w:rsid w:val="00D82DB5"/>
    <w:rsid w:val="00ED7832"/>
    <w:rsid w:val="482C29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2"/>
    <w:uiPriority w:val="99"/>
    <w:pPr>
      <w:tabs>
        <w:tab w:val="center" w:pos="4153"/>
        <w:tab w:val="right" w:pos="8306"/>
      </w:tabs>
      <w:snapToGrid w:val="0"/>
      <w:jc w:val="left"/>
    </w:pPr>
    <w:rPr>
      <w:sz w:val="18"/>
      <w:szCs w:val="18"/>
    </w:rPr>
  </w:style>
  <w:style w:type="paragraph" w:styleId="3">
    <w:name w:val="header"/>
    <w:basedOn w:val="1"/>
    <w:link w:val="13"/>
    <w:uiPriority w:val="99"/>
    <w:pPr>
      <w:pBdr>
        <w:bottom w:val="single" w:color="000000"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styleId="7">
    <w:name w:val="Hyperlink"/>
    <w:basedOn w:val="8"/>
    <w:uiPriority w:val="99"/>
    <w:rPr>
      <w:rFonts w:cs="Times New Roman"/>
      <w:color w:val="0000FF"/>
      <w:u w:val="single"/>
    </w:rPr>
  </w:style>
  <w:style w:type="character" w:customStyle="1" w:styleId="8">
    <w:name w:val="NormalCharacter"/>
    <w:uiPriority w:val="99"/>
  </w:style>
  <w:style w:type="table" w:customStyle="1" w:styleId="9">
    <w:name w:val="TableNormal"/>
    <w:uiPriority w:val="99"/>
    <w:rPr>
      <w:kern w:val="0"/>
      <w:sz w:val="20"/>
      <w:szCs w:val="20"/>
    </w:rPr>
    <w:tblPr>
      <w:tblCellMar>
        <w:top w:w="0" w:type="dxa"/>
        <w:left w:w="0" w:type="dxa"/>
        <w:bottom w:w="0" w:type="dxa"/>
        <w:right w:w="0" w:type="dxa"/>
      </w:tblCellMar>
    </w:tblPr>
  </w:style>
  <w:style w:type="character" w:customStyle="1" w:styleId="10">
    <w:name w:val="Footer Char"/>
    <w:semiHidden/>
    <w:locked/>
    <w:uiPriority w:val="99"/>
    <w:rPr>
      <w:rFonts w:cs="Times New Roman"/>
      <w:sz w:val="18"/>
      <w:szCs w:val="18"/>
    </w:rPr>
  </w:style>
  <w:style w:type="character" w:customStyle="1" w:styleId="11">
    <w:name w:val="Header Char"/>
    <w:semiHidden/>
    <w:locked/>
    <w:uiPriority w:val="99"/>
    <w:rPr>
      <w:rFonts w:cs="Times New Roman"/>
      <w:sz w:val="18"/>
      <w:szCs w:val="18"/>
    </w:rPr>
  </w:style>
  <w:style w:type="character" w:customStyle="1" w:styleId="12">
    <w:name w:val="页脚 Char"/>
    <w:basedOn w:val="5"/>
    <w:link w:val="2"/>
    <w:semiHidden/>
    <w:locked/>
    <w:uiPriority w:val="99"/>
    <w:rPr>
      <w:rFonts w:cs="Times New Roman"/>
      <w:sz w:val="18"/>
      <w:szCs w:val="18"/>
    </w:rPr>
  </w:style>
  <w:style w:type="character" w:customStyle="1" w:styleId="13">
    <w:name w:val="页眉 Char"/>
    <w:basedOn w:val="5"/>
    <w:link w:val="3"/>
    <w:semiHidden/>
    <w:locked/>
    <w:uiPriority w:val="99"/>
    <w:rPr>
      <w:rFonts w:cs="Times New Roman"/>
      <w:sz w:val="18"/>
      <w:szCs w:val="18"/>
    </w:rPr>
  </w:style>
  <w:style w:type="paragraph" w:customStyle="1" w:styleId="14">
    <w:name w:val="HtmlNormal"/>
    <w:basedOn w:val="1"/>
    <w:uiPriority w:val="99"/>
    <w:rPr>
      <w:rFonts w:ascii="Times New Roman" w:hAnsi="Times New Roman"/>
      <w:sz w:val="24"/>
      <w:szCs w:val="24"/>
    </w:rPr>
  </w:style>
  <w:style w:type="paragraph" w:customStyle="1" w:styleId="15">
    <w:name w:val="UserStyle_2"/>
    <w:basedOn w:val="1"/>
    <w:uiPriority w:val="99"/>
    <w:pPr>
      <w:spacing w:after="160" w:line="240" w:lineRule="exact"/>
      <w:jc w:val="left"/>
    </w:pPr>
    <w:rPr>
      <w:rFonts w:ascii="仿宋_GB2312" w:hAnsi="Times New Roman"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 10</Company>
  <Pages>8</Pages>
  <Words>491</Words>
  <Characters>2800</Characters>
  <Lines>23</Lines>
  <Paragraphs>6</Paragraphs>
  <TotalTime>1</TotalTime>
  <ScaleCrop>false</ScaleCrop>
  <LinksUpToDate>false</LinksUpToDate>
  <CharactersWithSpaces>3285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2021-05-10T01:01:00Z</dcterms:created>
  <dc:creator>Windows 10</dc:creator>
  <cp:lastModifiedBy>梧桐树</cp:lastModifiedBy>
  <cp:lastPrinted>2020-05-22T03:16:00Z</cp:lastPrinted>
  <dcterms:modified xsi:type="dcterms:W3CDTF">2021-05-19T01:59:21Z</dcterms:modified>
  <dc:title>曲沃县供销社联合社</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8D612A474F9349F5A132A7175EA08FC6</vt:lpwstr>
  </property>
</Properties>
</file>