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1" w:firstLine="0" w:firstLineChars="0"/>
        <w:textAlignment w:val="bottom"/>
        <w:rPr>
          <w:rFonts w:ascii="黑体" w:hAnsi="黑体" w:eastAsia="黑体" w:cs="Times New Roman"/>
          <w:color w:val="000000"/>
          <w:sz w:val="28"/>
          <w:szCs w:val="24"/>
          <w:u w:color="000000"/>
        </w:rPr>
      </w:pPr>
      <w:r>
        <w:rPr>
          <w:rFonts w:hint="eastAsia" w:ascii="黑体" w:hAnsi="黑体" w:eastAsia="黑体" w:cs="Times New Roman"/>
          <w:color w:val="000000"/>
          <w:sz w:val="28"/>
          <w:szCs w:val="24"/>
          <w:u w:color="000000"/>
        </w:rPr>
        <w:t>曲沃县第十七届人民代表大会第二次会议材料（2022.01）</w:t>
      </w:r>
    </w:p>
    <w:p>
      <w:pPr>
        <w:spacing w:line="600" w:lineRule="exact"/>
        <w:ind w:firstLine="640"/>
      </w:pPr>
    </w:p>
    <w:p>
      <w:pPr>
        <w:widowControl/>
        <w:spacing w:line="600" w:lineRule="exact"/>
        <w:ind w:firstLine="0" w:firstLineChars="0"/>
        <w:jc w:val="center"/>
        <w:rPr>
          <w:rFonts w:ascii="方正大标宋简体" w:hAnsi="方正大标宋简体" w:eastAsia="方正大标宋简体" w:cs="方正大标宋简体"/>
          <w:bCs/>
          <w:color w:val="000000"/>
          <w:spacing w:val="4"/>
          <w:sz w:val="44"/>
          <w:szCs w:val="44"/>
          <w:u w:color="000000"/>
        </w:rPr>
      </w:pPr>
      <w:r>
        <w:rPr>
          <w:rFonts w:ascii="方正大标宋简体" w:hAnsi="方正大标宋简体" w:eastAsia="方正大标宋简体" w:cs="方正大标宋简体"/>
          <w:bCs/>
          <w:color w:val="000000"/>
          <w:spacing w:val="4"/>
          <w:sz w:val="44"/>
          <w:szCs w:val="44"/>
          <w:u w:color="000000"/>
        </w:rPr>
        <w:t>关于曲沃县2021年预算执行情况</w:t>
      </w:r>
    </w:p>
    <w:p>
      <w:pPr>
        <w:widowControl/>
        <w:spacing w:line="600" w:lineRule="exact"/>
        <w:ind w:firstLine="0" w:firstLineChars="0"/>
        <w:jc w:val="center"/>
        <w:rPr>
          <w:rFonts w:ascii="方正大标宋简体" w:hAnsi="方正大标宋简体" w:eastAsia="方正大标宋简体" w:cs="方正大标宋简体"/>
          <w:bCs/>
          <w:color w:val="000000"/>
          <w:spacing w:val="4"/>
          <w:sz w:val="44"/>
          <w:szCs w:val="44"/>
          <w:u w:color="000000"/>
        </w:rPr>
      </w:pPr>
      <w:r>
        <w:rPr>
          <w:rFonts w:ascii="方正大标宋简体" w:hAnsi="方正大标宋简体" w:eastAsia="方正大标宋简体" w:cs="方正大标宋简体"/>
          <w:bCs/>
          <w:color w:val="000000"/>
          <w:spacing w:val="4"/>
          <w:sz w:val="44"/>
          <w:szCs w:val="44"/>
          <w:u w:color="000000"/>
        </w:rPr>
        <w:t>与2022年预算草案的报告</w:t>
      </w:r>
    </w:p>
    <w:p>
      <w:pPr>
        <w:pStyle w:val="2"/>
        <w:spacing w:beforeLines="100" w:line="600" w:lineRule="exact"/>
        <w:ind w:firstLine="643"/>
        <w:jc w:val="center"/>
        <w:rPr>
          <w:rFonts w:ascii="楷体_GB2312" w:hAnsi="楷体_GB2312" w:eastAsia="楷体_GB2312" w:cs="楷体_GB2312"/>
          <w:b/>
        </w:rPr>
      </w:pPr>
    </w:p>
    <w:p>
      <w:pPr>
        <w:autoSpaceDE w:val="0"/>
        <w:autoSpaceDN w:val="0"/>
        <w:adjustRightInd w:val="0"/>
        <w:spacing w:beforeLines="100" w:line="600" w:lineRule="exact"/>
        <w:ind w:firstLine="0" w:firstLineChars="0"/>
        <w:jc w:val="center"/>
        <w:rPr>
          <w:rFonts w:ascii="楷体_GB2312" w:hAnsi="Times New Roman" w:eastAsia="楷体_GB2312" w:cs="楷体_GB2312"/>
          <w:color w:val="000000"/>
          <w:kern w:val="0"/>
          <w:u w:color="000000"/>
        </w:rPr>
      </w:pPr>
      <w:r>
        <w:rPr>
          <w:rFonts w:hint="eastAsia" w:ascii="方正楷体简体" w:hAnsi="方正楷体简体" w:eastAsia="方正楷体简体" w:cs="方正楷体简体"/>
          <w:color w:val="000000"/>
          <w:u w:color="000000"/>
        </w:rPr>
        <w:t>——</w:t>
      </w:r>
      <w:r>
        <w:rPr>
          <w:rFonts w:hint="eastAsia" w:ascii="楷体_GB2312" w:hAnsi="楷体_GB2312" w:eastAsia="楷体_GB2312" w:cs="楷体_GB2312"/>
          <w:color w:val="000000"/>
          <w:u w:color="000000"/>
        </w:rPr>
        <w:t>2</w:t>
      </w:r>
      <w:r>
        <w:rPr>
          <w:rFonts w:hint="eastAsia" w:ascii="楷体_GB2312" w:hAnsi="Times New Roman" w:eastAsia="楷体_GB2312" w:cs="楷体_GB2312"/>
          <w:color w:val="000000"/>
          <w:kern w:val="0"/>
          <w:u w:color="000000"/>
        </w:rPr>
        <w:t>022年1月25日在曲沃县第十七届人民代表大会</w:t>
      </w:r>
    </w:p>
    <w:p>
      <w:pPr>
        <w:autoSpaceDE w:val="0"/>
        <w:autoSpaceDN w:val="0"/>
        <w:adjustRightInd w:val="0"/>
        <w:spacing w:line="600" w:lineRule="exact"/>
        <w:ind w:firstLine="0" w:firstLineChars="0"/>
        <w:jc w:val="center"/>
        <w:rPr>
          <w:rFonts w:ascii="楷体_GB2312" w:hAnsi="Times New Roman" w:eastAsia="楷体_GB2312" w:cs="楷体_GB2312"/>
          <w:color w:val="000000"/>
          <w:kern w:val="0"/>
          <w:u w:color="000000"/>
        </w:rPr>
      </w:pPr>
      <w:r>
        <w:rPr>
          <w:rFonts w:hint="eastAsia" w:ascii="楷体_GB2312" w:hAnsi="Times New Roman" w:eastAsia="楷体_GB2312" w:cs="楷体_GB2312"/>
          <w:color w:val="000000"/>
          <w:kern w:val="0"/>
          <w:u w:color="000000"/>
        </w:rPr>
        <w:t>第二次会议上</w:t>
      </w:r>
    </w:p>
    <w:p>
      <w:pPr>
        <w:snapToGrid w:val="0"/>
        <w:spacing w:beforeLines="100" w:afterLines="100" w:line="600" w:lineRule="exact"/>
        <w:ind w:firstLine="0" w:firstLineChars="0"/>
        <w:jc w:val="center"/>
        <w:rPr>
          <w:rFonts w:ascii="华文行楷" w:hAnsi="华文楷体" w:eastAsia="华文行楷" w:cs="方正行楷简体"/>
          <w:bCs/>
          <w:color w:val="000000"/>
          <w:sz w:val="36"/>
          <w:szCs w:val="36"/>
          <w:u w:color="000000"/>
        </w:rPr>
      </w:pPr>
      <w:r>
        <w:rPr>
          <w:rFonts w:hint="eastAsia" w:ascii="华文行楷" w:hAnsi="华文楷体" w:eastAsia="华文行楷" w:cs="方正行楷简体"/>
          <w:bCs/>
          <w:color w:val="000000"/>
          <w:sz w:val="36"/>
          <w:szCs w:val="36"/>
          <w:u w:color="000000"/>
        </w:rPr>
        <w:t>曲沃县财政局局长  丁全保</w:t>
      </w:r>
    </w:p>
    <w:p>
      <w:pPr>
        <w:overflowPunct w:val="0"/>
        <w:spacing w:line="600" w:lineRule="exact"/>
        <w:ind w:firstLine="0" w:firstLineChars="0"/>
      </w:pPr>
      <w:r>
        <w:rPr>
          <w:rFonts w:ascii="黑体" w:hAnsi="Times New Roman" w:eastAsia="黑体" w:cs="Times New Roman"/>
          <w:color w:val="000000"/>
          <w:kern w:val="0"/>
          <w:u w:color="000000"/>
        </w:rPr>
        <w:t>各位代表：</w:t>
      </w:r>
    </w:p>
    <w:p>
      <w:pPr>
        <w:overflowPunct w:val="0"/>
        <w:spacing w:line="600" w:lineRule="exact"/>
        <w:ind w:firstLine="640"/>
      </w:pPr>
      <w:r>
        <w:t>受县人民政府委托</w:t>
      </w:r>
      <w:r>
        <w:rPr>
          <w:rFonts w:hint="eastAsia"/>
        </w:rPr>
        <w:t>，</w:t>
      </w:r>
      <w:r>
        <w:t>我向大会提出</w:t>
      </w:r>
      <w:r>
        <w:rPr>
          <w:rFonts w:hint="eastAsia" w:ascii="仿宋_GB2312" w:hAnsi="仿宋_GB2312"/>
        </w:rPr>
        <w:t>2021年全县预算执行情况与2022年</w:t>
      </w:r>
      <w:r>
        <w:t>预算草案的报告</w:t>
      </w:r>
      <w:r>
        <w:rPr>
          <w:rFonts w:hint="eastAsia"/>
        </w:rPr>
        <w:t>，</w:t>
      </w:r>
      <w:r>
        <w:t>请予审议，并请县政协委员和其他列席会议的人员提出意见。</w:t>
      </w:r>
    </w:p>
    <w:p>
      <w:pPr>
        <w:pStyle w:val="2"/>
        <w:keepNext w:val="0"/>
        <w:keepLines w:val="0"/>
        <w:overflowPunct w:val="0"/>
        <w:spacing w:line="600" w:lineRule="exact"/>
        <w:ind w:firstLine="640"/>
      </w:pPr>
      <w:r>
        <w:rPr>
          <w:rFonts w:hint="eastAsia"/>
        </w:rPr>
        <w:t>一、2021年全县预算执行情况</w:t>
      </w:r>
    </w:p>
    <w:p>
      <w:pPr>
        <w:overflowPunct w:val="0"/>
        <w:spacing w:line="600" w:lineRule="exact"/>
        <w:ind w:firstLine="640"/>
      </w:pPr>
      <w:r>
        <w:rPr>
          <w:rFonts w:hint="eastAsia" w:ascii="仿宋_GB2312" w:hAnsi="仿宋_GB2312"/>
        </w:rPr>
        <w:t>2021</w:t>
      </w:r>
      <w:r>
        <w:t>年，在县委、县政府的正确领导下，在县人大、县政协的监督支持下，财政部门以习近平新时代中国特色社会主义思想为指导，全面贯彻党的十九大和十九届</w:t>
      </w:r>
      <w:r>
        <w:rPr>
          <w:rFonts w:hint="eastAsia"/>
        </w:rPr>
        <w:t>历次</w:t>
      </w:r>
      <w:r>
        <w:t>全会精神</w:t>
      </w:r>
      <w:r>
        <w:rPr>
          <w:rFonts w:hint="eastAsia"/>
        </w:rPr>
        <w:t>，弘扬伟大建党精神，坚决贯彻县委、县政府决策部署，积极进取，主动作为，</w:t>
      </w:r>
      <w:r>
        <w:t>坚持稳中求进工作总基调，</w:t>
      </w:r>
      <w:r>
        <w:rPr>
          <w:rFonts w:hint="eastAsia"/>
        </w:rPr>
        <w:t>统筹疫情防控和经济发展，</w:t>
      </w:r>
      <w:r>
        <w:t>全面落实高质量发展理念，</w:t>
      </w:r>
      <w:r>
        <w:rPr>
          <w:rFonts w:hint="eastAsia"/>
        </w:rPr>
        <w:t>兜牢基本民生底线，保障重大战略实施，财政工作提质增效，</w:t>
      </w:r>
      <w:r>
        <w:t>为</w:t>
      </w:r>
      <w:r>
        <w:rPr>
          <w:rFonts w:hint="eastAsia"/>
        </w:rPr>
        <w:t>县域</w:t>
      </w:r>
      <w:r>
        <w:t>经济发展和社会稳定提供了</w:t>
      </w:r>
      <w:r>
        <w:rPr>
          <w:rFonts w:hint="eastAsia"/>
        </w:rPr>
        <w:t>有力</w:t>
      </w:r>
      <w:r>
        <w:t>支撑。</w:t>
      </w:r>
    </w:p>
    <w:p>
      <w:pPr>
        <w:pStyle w:val="3"/>
        <w:keepNext w:val="0"/>
        <w:keepLines w:val="0"/>
        <w:overflowPunct w:val="0"/>
        <w:spacing w:line="600" w:lineRule="exact"/>
        <w:ind w:firstLine="643"/>
      </w:pPr>
      <w:r>
        <w:rPr>
          <w:rFonts w:hint="eastAsia"/>
        </w:rPr>
        <w:t>（一）一般公共预算执行情况</w:t>
      </w:r>
    </w:p>
    <w:p>
      <w:pPr>
        <w:overflowPunct w:val="0"/>
        <w:spacing w:line="600" w:lineRule="exact"/>
        <w:ind w:firstLine="640"/>
        <w:rPr>
          <w:rFonts w:ascii="仿宋_GB2312" w:hAnsi="仿宋_GB2312"/>
        </w:rPr>
      </w:pPr>
      <w:r>
        <w:rPr>
          <w:rFonts w:hint="eastAsia" w:ascii="仿宋_GB2312" w:hAnsi="仿宋_GB2312"/>
        </w:rPr>
        <w:t>2021年全县预算经县十七届人大第一次会议审查批准，一般公共预算收入安排43481万元，后经县十七届人民代表大会常务委员会第三次会议通过，一般公共预算收入调整为50481万元；由于中央、省、市转移支付补助及债券转贷资金增加，我县支出预算安排由年初的143362万元变动为</w:t>
      </w:r>
      <w:r>
        <w:rPr>
          <w:rFonts w:hint="eastAsia" w:ascii="仿宋_GB2312" w:hAnsi="仿宋_GB2312"/>
          <w:lang w:val="en-US" w:eastAsia="zh-CN"/>
        </w:rPr>
        <w:t>174068</w:t>
      </w:r>
      <w:r>
        <w:rPr>
          <w:rFonts w:hint="eastAsia" w:ascii="仿宋_GB2312" w:hAnsi="仿宋_GB2312"/>
        </w:rPr>
        <w:t>万元。</w:t>
      </w:r>
    </w:p>
    <w:p>
      <w:pPr>
        <w:overflowPunct w:val="0"/>
        <w:spacing w:line="600" w:lineRule="exact"/>
        <w:ind w:firstLine="640"/>
        <w:rPr>
          <w:rFonts w:ascii="仿宋_GB2312" w:hAnsi="仿宋_GB2312"/>
        </w:rPr>
      </w:pPr>
      <w:r>
        <w:rPr>
          <w:rFonts w:hint="eastAsia" w:ascii="仿宋_GB2312" w:hAnsi="仿宋_GB2312"/>
        </w:rPr>
        <w:t>2021年,全县一般公共预算收入完成56581万元，</w:t>
      </w:r>
      <w:r>
        <w:rPr>
          <w:rFonts w:hint="eastAsia" w:ascii="仿宋_GB2312"/>
        </w:rPr>
        <w:t>为调整预算（以下简称为“预算”）</w:t>
      </w:r>
      <w:r>
        <w:rPr>
          <w:rFonts w:hint="eastAsia" w:ascii="仿宋_GB2312" w:hAnsi="仿宋_GB2312"/>
        </w:rPr>
        <w:t>112.08%，预算执行好于预期。一般公共预算支出执行149738万元，为调整预算的</w:t>
      </w:r>
      <w:r>
        <w:rPr>
          <w:rFonts w:hint="eastAsia" w:ascii="仿宋_GB2312" w:hAnsi="仿宋_GB2312"/>
          <w:lang w:val="en-US" w:eastAsia="zh-CN"/>
        </w:rPr>
        <w:t>86.02</w:t>
      </w:r>
      <w:r>
        <w:rPr>
          <w:rFonts w:hint="eastAsia" w:ascii="仿宋_GB2312" w:hAnsi="仿宋_GB2312"/>
        </w:rPr>
        <w:t>%，主要是县级财政国库集中支付结余不再按权责发生制列支。</w:t>
      </w:r>
    </w:p>
    <w:p>
      <w:pPr>
        <w:overflowPunct w:val="0"/>
        <w:spacing w:line="600" w:lineRule="exact"/>
        <w:ind w:firstLine="640"/>
        <w:rPr>
          <w:rFonts w:ascii="仿宋_GB2312" w:hAnsi="仿宋_GB2312"/>
        </w:rPr>
      </w:pPr>
      <w:r>
        <w:rPr>
          <w:rFonts w:hint="eastAsia" w:ascii="仿宋_GB2312" w:hAnsi="仿宋_GB2312"/>
        </w:rPr>
        <w:t>2021年预算收支执行具体情况如下：</w:t>
      </w:r>
    </w:p>
    <w:p>
      <w:pPr>
        <w:pStyle w:val="4"/>
        <w:keepNext w:val="0"/>
        <w:keepLines w:val="0"/>
        <w:overflowPunct w:val="0"/>
        <w:spacing w:line="600" w:lineRule="exact"/>
        <w:ind w:firstLine="643"/>
        <w:rPr>
          <w:rFonts w:ascii="仿宋_GB2312" w:eastAsia="仿宋_GB2312"/>
        </w:rPr>
      </w:pPr>
      <w:r>
        <w:rPr>
          <w:rFonts w:hint="eastAsia" w:ascii="仿宋_GB2312" w:eastAsia="仿宋_GB2312"/>
        </w:rPr>
        <w:t>1.主要收入项目完成情况</w:t>
      </w:r>
    </w:p>
    <w:p>
      <w:pPr>
        <w:overflowPunct w:val="0"/>
        <w:spacing w:line="600" w:lineRule="exact"/>
        <w:ind w:firstLine="640"/>
        <w:rPr>
          <w:rFonts w:ascii="仿宋_GB2312" w:hAnsi="仿宋_GB2312"/>
        </w:rPr>
      </w:pPr>
      <w:r>
        <w:rPr>
          <w:rFonts w:hint="eastAsia" w:ascii="仿宋_GB2312" w:hAnsi="仿宋_GB2312"/>
        </w:rPr>
        <w:t>税收收入完成43263万元,为预算的</w:t>
      </w:r>
      <w:r>
        <w:rPr>
          <w:rFonts w:hint="eastAsia" w:ascii="仿宋_GB2312" w:hAnsi="仿宋_GB2312"/>
          <w:lang w:val="en-US" w:eastAsia="zh-CN"/>
        </w:rPr>
        <w:t>100.66</w:t>
      </w:r>
      <w:r>
        <w:rPr>
          <w:rFonts w:hint="eastAsia" w:ascii="仿宋_GB2312" w:hAnsi="仿宋_GB2312"/>
        </w:rPr>
        <w:t>%，</w:t>
      </w:r>
      <w:r>
        <w:rPr>
          <w:rFonts w:hint="eastAsia" w:ascii="仿宋_GB2312"/>
        </w:rPr>
        <w:t>同比增长（以下简称为“增长”）</w:t>
      </w:r>
      <w:r>
        <w:rPr>
          <w:rFonts w:hint="eastAsia" w:ascii="仿宋_GB2312" w:hAnsi="仿宋_GB2312"/>
        </w:rPr>
        <w:t>30.22%。其中：增值税完成18655万元，为预算的</w:t>
      </w:r>
      <w:r>
        <w:rPr>
          <w:rFonts w:hint="eastAsia" w:ascii="仿宋_GB2312" w:hAnsi="仿宋_GB2312"/>
          <w:lang w:val="en-US" w:eastAsia="zh-CN"/>
        </w:rPr>
        <w:t>87.85</w:t>
      </w:r>
      <w:r>
        <w:rPr>
          <w:rFonts w:hint="eastAsia" w:ascii="仿宋_GB2312" w:hAnsi="仿宋_GB2312"/>
        </w:rPr>
        <w:t>%，增长57.13%；企业所得税完成4901万元，为预算的98.14%，增长48.79%；个人所得税完成722万元，为预算的127.34%,增长60.44%；资源税完成792万元,为预算的100.13%,增长23.56%;城市维护建设税完成5113万元，为预算的132.87%，增长53.04%；房产税完成1452万元，为预算的146.67%，增长65%；印花税完成4499万元，为预算的131.24%，增长40.68%；城镇土地使用税完成1935万元，为预算的106.32%，增长18.86%；土地增值税完成869万元，为预算的130.68%，增长34.73%；车船税完成609万元，为预算的81.53%，下降11.35%；契税完成1909万元，为预算的87.93%，下降33.51%；环境保护税完成1807万元，为预算的111.06%，增长20.71%。</w:t>
      </w:r>
    </w:p>
    <w:p>
      <w:pPr>
        <w:overflowPunct w:val="0"/>
        <w:spacing w:line="600" w:lineRule="exact"/>
        <w:ind w:firstLine="640"/>
      </w:pPr>
      <w:r>
        <w:rPr>
          <w:rFonts w:hint="eastAsia" w:ascii="仿宋_GB2312" w:hAnsi="仿宋_GB2312"/>
        </w:rPr>
        <w:t>非税收入完成13318万元，为预算的177.57%，增长62.81%。其中：专项收入完成8776万元，为预算的211.47%，增长111.42%；行政事业性收费收入完成744万元，为预算的62%，下降54.36%；罚没收入完成3391万元，为预算的188.39%，增长84.19%；国有资源(资产)有偿使用收入完成337万元，为预算的96.29%，下降5.87%；其他收入完成70万元，下降65%。</w:t>
      </w:r>
    </w:p>
    <w:p>
      <w:pPr>
        <w:pStyle w:val="4"/>
        <w:keepNext w:val="0"/>
        <w:keepLines w:val="0"/>
        <w:overflowPunct w:val="0"/>
        <w:spacing w:line="600" w:lineRule="exact"/>
        <w:ind w:firstLine="643"/>
        <w:rPr>
          <w:rFonts w:ascii="仿宋_GB2312" w:eastAsia="仿宋_GB2312"/>
        </w:rPr>
      </w:pPr>
      <w:r>
        <w:rPr>
          <w:rFonts w:hint="eastAsia" w:ascii="仿宋_GB2312" w:eastAsia="仿宋_GB2312"/>
        </w:rPr>
        <w:t>2.主要支出项目执行情况</w:t>
      </w:r>
    </w:p>
    <w:p>
      <w:pPr>
        <w:overflowPunct w:val="0"/>
        <w:spacing w:line="600" w:lineRule="exact"/>
        <w:ind w:firstLine="640"/>
        <w:rPr>
          <w:rFonts w:ascii="仿宋_GB2312" w:hAnsi="仿宋_GB2312"/>
        </w:rPr>
      </w:pPr>
      <w:r>
        <w:rPr>
          <w:rFonts w:hint="eastAsia" w:ascii="仿宋_GB2312" w:hAnsi="仿宋_GB2312"/>
        </w:rPr>
        <w:t>一般公共服务支出执行16492万元，为预算的97.65%；公共安全支出执行6442万元,为预算的95.65%；教育支出执行26403万元，为预算的</w:t>
      </w:r>
      <w:r>
        <w:rPr>
          <w:rFonts w:hint="eastAsia" w:ascii="仿宋_GB2312" w:hAnsi="仿宋_GB2312"/>
          <w:lang w:val="en-US" w:eastAsia="zh-CN"/>
        </w:rPr>
        <w:t>89.95</w:t>
      </w:r>
      <w:r>
        <w:rPr>
          <w:rFonts w:hint="eastAsia" w:ascii="仿宋_GB2312" w:hAnsi="仿宋_GB2312"/>
        </w:rPr>
        <w:t>%；科学技术支出执行836万元，为预算的96.42%；文化旅游体育与传媒支出执行3871万元，为预算的88.85%；社会保障和就业支出执行35350万元,为预算的98.08 %；卫生健康支出执行23587万元，为预算的91.67%；节能环保支出执行4359万元，为预算的55.76%；城乡社区支出执行4990万元，为预算的70.82%;农林水支出执行9930万元，为预算的55.56%;交通运输支出执行2193万元，为预算的 83.99%；资源勘探工业信息等支出执行1189万元,为预算的99.92%；商业服务业等支出执行192万元，为预算的100%；自然资源海洋气象等支出执行1948万元，为预算的97.89 %；住房保障支出执行4122万元，为预算的91.5%；粮油物资储备支出执行308万元，为预算的99.35%；灾害防治及应急管理支出执行1493万元，为预算的41.17%；债务付息支出执行1197万元，为预算的100% ；其他支出执行4834万元，为预算的84.3%。</w:t>
      </w:r>
    </w:p>
    <w:p>
      <w:pPr>
        <w:pStyle w:val="4"/>
        <w:keepNext w:val="0"/>
        <w:keepLines w:val="0"/>
        <w:overflowPunct w:val="0"/>
        <w:spacing w:line="600" w:lineRule="exact"/>
        <w:ind w:firstLine="643"/>
        <w:rPr>
          <w:rFonts w:ascii="仿宋_GB2312" w:eastAsia="仿宋_GB2312"/>
        </w:rPr>
      </w:pPr>
      <w:r>
        <w:rPr>
          <w:rFonts w:hint="eastAsia" w:ascii="仿宋_GB2312" w:eastAsia="仿宋_GB2312"/>
        </w:rPr>
        <w:t>3.中央、省、市对我县转移支付执行情况</w:t>
      </w:r>
    </w:p>
    <w:p>
      <w:pPr>
        <w:overflowPunct w:val="0"/>
        <w:spacing w:line="600" w:lineRule="exact"/>
        <w:ind w:firstLine="640"/>
        <w:rPr>
          <w:rFonts w:ascii="仿宋_GB2312" w:hAnsi="仿宋_GB2312"/>
        </w:rPr>
      </w:pPr>
      <w:r>
        <w:rPr>
          <w:rFonts w:hint="eastAsia" w:ascii="仿宋_GB2312" w:hAnsi="仿宋_GB2312"/>
        </w:rPr>
        <w:t>2021年，中央、省、市对我县转移支付122957万元，为预算的127.64%，下降12.21%。其中：一般性转移支付107727万元，下降7.31%；专项转移支付15230万元，下降36.11%。</w:t>
      </w:r>
    </w:p>
    <w:p>
      <w:pPr>
        <w:pStyle w:val="4"/>
        <w:keepNext w:val="0"/>
        <w:keepLines w:val="0"/>
        <w:overflowPunct w:val="0"/>
        <w:spacing w:line="600" w:lineRule="exact"/>
        <w:ind w:firstLine="643"/>
      </w:pPr>
      <w:r>
        <w:rPr>
          <w:rFonts w:hint="eastAsia" w:ascii="仿宋_GB2312" w:eastAsia="仿宋_GB2312"/>
        </w:rPr>
        <w:t>4.当年收支平衡情况</w:t>
      </w:r>
    </w:p>
    <w:p>
      <w:pPr>
        <w:overflowPunct w:val="0"/>
        <w:spacing w:line="600" w:lineRule="exact"/>
        <w:ind w:firstLine="640"/>
      </w:pPr>
      <w:r>
        <w:rPr>
          <w:rFonts w:hint="eastAsia" w:ascii="仿宋_GB2312" w:hAnsi="仿宋_GB2312"/>
        </w:rPr>
        <w:t>2021年全县一般公共预算收入56581万元，中央两税返还收入3346万元，所得税基数返还-807万元，成品油税费改革税收返还收入493万元，转移支付补助122957万元，其中恢复重建财力项补助安排到教育、水利、农业恢复重建项目。上年结转164万元，债券转贷收入1910万元，调入预算稳定调节基金1538万元，从政府性基金收入调入3000万元。2021年全县总支出为189182万元，其中：一般公共预算支出149738万元，债券还本支出1298万元,上解上级支出3657万元，安排预算稳定调节基金</w:t>
      </w:r>
      <w:r>
        <w:rPr>
          <w:rFonts w:hint="eastAsia" w:ascii="仿宋_GB2312" w:hAnsi="仿宋_GB2312"/>
          <w:lang w:val="en-US" w:eastAsia="zh-CN"/>
        </w:rPr>
        <w:t>10159</w:t>
      </w:r>
      <w:r>
        <w:rPr>
          <w:rFonts w:hint="eastAsia" w:ascii="仿宋_GB2312" w:hAnsi="仿宋_GB2312"/>
        </w:rPr>
        <w:t>万元，结转下年使用</w:t>
      </w:r>
      <w:r>
        <w:rPr>
          <w:rFonts w:hint="eastAsia" w:ascii="仿宋_GB2312" w:hAnsi="仿宋_GB2312"/>
          <w:lang w:val="en-US" w:eastAsia="zh-CN"/>
        </w:rPr>
        <w:t>24330</w:t>
      </w:r>
      <w:r>
        <w:rPr>
          <w:rFonts w:hint="eastAsia" w:ascii="仿宋_GB2312" w:hAnsi="仿宋_GB2312"/>
        </w:rPr>
        <w:t>万元。总财力与总支出相抵，实现当年收支平衡。</w:t>
      </w:r>
    </w:p>
    <w:p>
      <w:pPr>
        <w:pStyle w:val="3"/>
        <w:keepNext w:val="0"/>
        <w:keepLines w:val="0"/>
        <w:overflowPunct w:val="0"/>
        <w:spacing w:line="600" w:lineRule="exact"/>
        <w:ind w:firstLine="643"/>
      </w:pPr>
      <w:r>
        <w:rPr>
          <w:rFonts w:hint="eastAsia"/>
        </w:rPr>
        <w:t>（二）政府性基金预算执行情况</w:t>
      </w:r>
    </w:p>
    <w:p>
      <w:pPr>
        <w:overflowPunct w:val="0"/>
        <w:spacing w:line="600" w:lineRule="exact"/>
        <w:ind w:firstLine="640"/>
        <w:rPr>
          <w:rFonts w:ascii="仿宋_GB2312" w:hAnsi="仿宋_GB2312"/>
        </w:rPr>
      </w:pPr>
      <w:r>
        <w:rPr>
          <w:rFonts w:hint="eastAsia" w:ascii="仿宋_GB2312" w:hAnsi="仿宋_GB2312"/>
        </w:rPr>
        <w:t>2021年，全县政府性基金预算收入完成33644万元，为预算的107.32%，增长43.29%；债券及转移支付20975万元，增长81.6%；预算支出执行25591万元，为预算的54.39%；调出资金3000万元；结转下年26208万元。</w:t>
      </w:r>
    </w:p>
    <w:p>
      <w:pPr>
        <w:pStyle w:val="3"/>
        <w:keepNext w:val="0"/>
        <w:keepLines w:val="0"/>
        <w:overflowPunct w:val="0"/>
        <w:spacing w:line="600" w:lineRule="exact"/>
        <w:ind w:firstLine="643"/>
      </w:pPr>
      <w:r>
        <w:rPr>
          <w:rFonts w:hint="eastAsia"/>
        </w:rPr>
        <w:t>（三）社会保险基金预算执行情况</w:t>
      </w:r>
    </w:p>
    <w:p>
      <w:pPr>
        <w:overflowPunct w:val="0"/>
        <w:spacing w:line="600" w:lineRule="exact"/>
        <w:ind w:firstLine="640"/>
      </w:pPr>
      <w:r>
        <w:rPr>
          <w:rFonts w:hint="eastAsia" w:ascii="仿宋_GB2312" w:hAnsi="仿宋_GB2312"/>
        </w:rPr>
        <w:t>2021年，全县社会保险基金收入完成30545万元，为预算的 105.8%；预算支出执行27228万元，为预算的104.6%。</w:t>
      </w:r>
    </w:p>
    <w:p>
      <w:pPr>
        <w:pStyle w:val="3"/>
        <w:keepNext w:val="0"/>
        <w:keepLines w:val="0"/>
        <w:overflowPunct w:val="0"/>
        <w:spacing w:line="600" w:lineRule="exact"/>
        <w:ind w:firstLine="643"/>
      </w:pPr>
      <w:r>
        <w:rPr>
          <w:rFonts w:hint="eastAsia"/>
        </w:rPr>
        <w:t>（四）“三公”经费预算执行情况</w:t>
      </w:r>
    </w:p>
    <w:p>
      <w:pPr>
        <w:overflowPunct w:val="0"/>
        <w:spacing w:line="600" w:lineRule="exact"/>
        <w:ind w:firstLine="640"/>
        <w:rPr>
          <w:rFonts w:ascii="仿宋_GB2312" w:hAnsi="仿宋_GB2312"/>
        </w:rPr>
      </w:pPr>
      <w:r>
        <w:rPr>
          <w:rFonts w:hint="eastAsia" w:ascii="仿宋_GB2312" w:hAnsi="仿宋_GB2312"/>
        </w:rPr>
        <w:t>经汇总，2021年全县“三公”经费支出执行457万元，为预算的60.61%，其中：公务接待费164万元，为预算的78.09%；公务用车购置及运行维护费293万元，为预算的53.86%。</w:t>
      </w:r>
    </w:p>
    <w:p>
      <w:pPr>
        <w:pStyle w:val="3"/>
        <w:keepNext w:val="0"/>
        <w:keepLines w:val="0"/>
        <w:overflowPunct w:val="0"/>
        <w:spacing w:line="600" w:lineRule="exact"/>
        <w:ind w:firstLine="643"/>
      </w:pPr>
      <w:r>
        <w:rPr>
          <w:rFonts w:hint="eastAsia"/>
        </w:rPr>
        <w:t>（五）全县地方债务情况</w:t>
      </w:r>
    </w:p>
    <w:p>
      <w:pPr>
        <w:overflowPunct w:val="0"/>
        <w:spacing w:line="600" w:lineRule="exact"/>
        <w:ind w:firstLine="640"/>
        <w:rPr>
          <w:rFonts w:ascii="仿宋_GB2312" w:hAnsi="仿宋_GB2312"/>
        </w:rPr>
      </w:pPr>
      <w:r>
        <w:rPr>
          <w:rFonts w:hint="eastAsia" w:ascii="仿宋_GB2312" w:hAnsi="仿宋_GB2312"/>
        </w:rPr>
        <w:t>2021年我县使用上级转贷一般政府债券710万元,用于东城小学建设项目350万元，用于曲郑路雨污管网建设工程项目300万元，用于雨水情测报项目60万元；使用专项政府债券18600万元，用于水利局汾河廊道曲沃段水生态及盐碱地综合治理与提升工程项目10000万元，用于城东水厂建设项目6200万元，用于人民医院门急诊、医技科室改扩建及设备配置项目1400万元，用于曲沃县中医医院住院楼基础设施配套建设项目1000万元；市财政局转贷我县再融资债券2600万元,全部用于偿还当年到期政府债券。</w:t>
      </w:r>
    </w:p>
    <w:p>
      <w:pPr>
        <w:overflowPunct w:val="0"/>
        <w:spacing w:line="600" w:lineRule="exact"/>
        <w:ind w:firstLine="640"/>
      </w:pPr>
      <w:r>
        <w:rPr>
          <w:rFonts w:hint="eastAsia" w:ascii="仿宋_GB2312" w:hAnsi="仿宋_GB2312"/>
        </w:rPr>
        <w:t>2021年年末我县政府债务余额68352万元，在市财政局核定我县政府债务限额68501万元之内。</w:t>
      </w:r>
    </w:p>
    <w:p>
      <w:pPr>
        <w:pStyle w:val="2"/>
        <w:keepNext w:val="0"/>
        <w:keepLines w:val="0"/>
        <w:overflowPunct w:val="0"/>
        <w:spacing w:line="600" w:lineRule="exact"/>
        <w:ind w:firstLine="640"/>
      </w:pPr>
      <w:r>
        <w:rPr>
          <w:rFonts w:hint="eastAsia"/>
        </w:rPr>
        <w:t>二、落实县十七届人大一次会议预算决议工作情况</w:t>
      </w:r>
    </w:p>
    <w:p>
      <w:pPr>
        <w:overflowPunct w:val="0"/>
        <w:spacing w:line="600" w:lineRule="exact"/>
        <w:ind w:firstLine="640"/>
        <w:rPr>
          <w:rFonts w:ascii="仿宋_GB2312" w:hAnsi="仿宋_GB2312"/>
          <w:color w:val="000000"/>
          <w:kern w:val="0"/>
          <w:u w:color="000000"/>
        </w:rPr>
      </w:pPr>
      <w:r>
        <w:rPr>
          <w:rFonts w:hint="eastAsia" w:ascii="仿宋_GB2312" w:hAnsi="仿宋_GB2312"/>
          <w:color w:val="000000"/>
          <w:kern w:val="0"/>
          <w:u w:color="000000"/>
        </w:rPr>
        <w:t>2021年，财政部门全面落实县委、县政府重大决策部署和县十七届人大一次会议决议，严格预算管理，狠抓预算执行，深化财政改革，持续提升依法理财、科学理财水平。</w:t>
      </w:r>
    </w:p>
    <w:p>
      <w:pPr>
        <w:pStyle w:val="3"/>
        <w:keepNext w:val="0"/>
        <w:keepLines w:val="0"/>
        <w:overflowPunct w:val="0"/>
        <w:spacing w:line="600" w:lineRule="exact"/>
        <w:ind w:firstLine="643"/>
      </w:pPr>
      <w:r>
        <w:t>（一）主动作为，多措并举抓收入</w:t>
      </w:r>
    </w:p>
    <w:p>
      <w:pPr>
        <w:overflowPunct w:val="0"/>
        <w:spacing w:line="600" w:lineRule="exact"/>
        <w:ind w:firstLine="640"/>
      </w:pPr>
      <w:r>
        <w:t>县财政部门紧紧围绕全年财政</w:t>
      </w:r>
      <w:r>
        <w:rPr>
          <w:rFonts w:hint="eastAsia"/>
        </w:rPr>
        <w:t>主要</w:t>
      </w:r>
      <w:r>
        <w:t>工作，自我加压，深挖税源，多措并举抓收入。</w:t>
      </w:r>
      <w:r>
        <w:rPr>
          <w:rStyle w:val="13"/>
          <w:rFonts w:ascii="仿宋_GB2312" w:eastAsia="仿宋_GB2312"/>
        </w:rPr>
        <w:t>一是加大综合治税力度。</w:t>
      </w:r>
      <w:r>
        <w:t>继续坚持</w:t>
      </w:r>
      <w:r>
        <w:rPr>
          <w:rFonts w:hint="eastAsia"/>
        </w:rPr>
        <w:t>“</w:t>
      </w:r>
      <w:r>
        <w:t>政府领导、财税牵头、部门配合、信息共享、齐抓共管</w:t>
      </w:r>
      <w:r>
        <w:rPr>
          <w:rFonts w:hint="eastAsia"/>
        </w:rPr>
        <w:t>”</w:t>
      </w:r>
      <w:r>
        <w:t>的工作运作模式，克服疫情不利影响，盯紧月度、季度、年度关键节点。做好税源调查，加强涉税信息采集共享，将</w:t>
      </w:r>
      <w:r>
        <w:rPr>
          <w:rFonts w:hint="eastAsia"/>
        </w:rPr>
        <w:t>“</w:t>
      </w:r>
      <w:r>
        <w:t>信息</w:t>
      </w:r>
      <w:r>
        <w:rPr>
          <w:rFonts w:hint="eastAsia"/>
        </w:rPr>
        <w:t>”</w:t>
      </w:r>
      <w:r>
        <w:t>变</w:t>
      </w:r>
      <w:r>
        <w:rPr>
          <w:rFonts w:hint="eastAsia"/>
        </w:rPr>
        <w:t>“</w:t>
      </w:r>
      <w:r>
        <w:t>税源</w:t>
      </w:r>
      <w:r>
        <w:rPr>
          <w:rFonts w:hint="eastAsia"/>
        </w:rPr>
        <w:t>”</w:t>
      </w:r>
      <w:r>
        <w:t>，将</w:t>
      </w:r>
      <w:r>
        <w:rPr>
          <w:rFonts w:hint="eastAsia"/>
        </w:rPr>
        <w:t>“</w:t>
      </w:r>
      <w:r>
        <w:t>税源</w:t>
      </w:r>
      <w:r>
        <w:rPr>
          <w:rFonts w:hint="eastAsia"/>
        </w:rPr>
        <w:t>”</w:t>
      </w:r>
      <w:r>
        <w:t>变税收。</w:t>
      </w:r>
      <w:r>
        <w:rPr>
          <w:rStyle w:val="13"/>
          <w:rFonts w:ascii="仿宋_GB2312" w:eastAsia="仿宋_GB2312"/>
        </w:rPr>
        <w:t>二是确保重点税收入库。</w:t>
      </w:r>
      <w:r>
        <w:t>强化对重点企业、重点行业、重点项目税源监控，及时掌握重点税源企业发展变化情况，确保重点税源应收尽收。</w:t>
      </w:r>
      <w:r>
        <w:rPr>
          <w:rStyle w:val="13"/>
          <w:rFonts w:ascii="仿宋_GB2312" w:eastAsia="仿宋_GB2312"/>
        </w:rPr>
        <w:t>三是加大非税</w:t>
      </w:r>
      <w:r>
        <w:rPr>
          <w:rStyle w:val="13"/>
          <w:rFonts w:hint="eastAsia" w:ascii="仿宋_GB2312" w:eastAsia="仿宋_GB2312"/>
        </w:rPr>
        <w:t>收</w:t>
      </w:r>
      <w:r>
        <w:rPr>
          <w:rStyle w:val="13"/>
          <w:rFonts w:ascii="仿宋_GB2312" w:eastAsia="仿宋_GB2312"/>
        </w:rPr>
        <w:t>缴力度。</w:t>
      </w:r>
      <w:r>
        <w:t>加强和规范政府非税收入管理，</w:t>
      </w:r>
      <w:r>
        <w:rPr>
          <w:rFonts w:hint="eastAsia"/>
        </w:rPr>
        <w:t>全面</w:t>
      </w:r>
      <w:r>
        <w:t>落实非税收缴政策，严格执行</w:t>
      </w:r>
      <w:r>
        <w:rPr>
          <w:rFonts w:hint="eastAsia"/>
        </w:rPr>
        <w:t>“</w:t>
      </w:r>
      <w:r>
        <w:t>收支两条线</w:t>
      </w:r>
      <w:r>
        <w:rPr>
          <w:rFonts w:hint="eastAsia"/>
        </w:rPr>
        <w:t>”</w:t>
      </w:r>
      <w:r>
        <w:t>规定，确保非税收入及时、足额上缴国库，做到应收尽收，不断壮大财政收入。</w:t>
      </w:r>
    </w:p>
    <w:p>
      <w:pPr>
        <w:pStyle w:val="3"/>
        <w:keepNext w:val="0"/>
        <w:keepLines w:val="0"/>
        <w:overflowPunct w:val="0"/>
        <w:spacing w:line="600" w:lineRule="exact"/>
        <w:ind w:firstLine="643"/>
      </w:pPr>
      <w:r>
        <w:t>（二）强化</w:t>
      </w:r>
      <w:r>
        <w:rPr>
          <w:rFonts w:hint="eastAsia"/>
        </w:rPr>
        <w:t>调控</w:t>
      </w:r>
      <w:r>
        <w:t>，聚财节支保民生</w:t>
      </w:r>
    </w:p>
    <w:p>
      <w:pPr>
        <w:overflowPunct w:val="0"/>
        <w:spacing w:line="600" w:lineRule="exact"/>
        <w:ind w:firstLine="640"/>
      </w:pPr>
      <w:r>
        <w:t>县财政部门为解决日益</w:t>
      </w:r>
      <w:r>
        <w:rPr>
          <w:rFonts w:hint="eastAsia"/>
        </w:rPr>
        <w:t>加剧的</w:t>
      </w:r>
      <w:r>
        <w:t>收支矛盾，充分发挥积极财政政策的作用，通盘考虑，统筹安排，在提高财政资金使用效率上下功夫，全力保障各项重点支出。</w:t>
      </w:r>
      <w:r>
        <w:rPr>
          <w:rStyle w:val="13"/>
          <w:rFonts w:ascii="仿宋_GB2312" w:eastAsia="仿宋_GB2312"/>
        </w:rPr>
        <w:t>一是</w:t>
      </w:r>
      <w:r>
        <w:t>把握各项政策</w:t>
      </w:r>
      <w:r>
        <w:rPr>
          <w:rFonts w:hint="eastAsia"/>
        </w:rPr>
        <w:t>“</w:t>
      </w:r>
      <w:r>
        <w:t>窗口</w:t>
      </w:r>
      <w:r>
        <w:rPr>
          <w:rFonts w:hint="eastAsia"/>
        </w:rPr>
        <w:t>”</w:t>
      </w:r>
      <w:r>
        <w:t>和机遇期，与相关部门加强沟通协调，合力向上争取项目资金，增加本级可用财力。</w:t>
      </w:r>
      <w:r>
        <w:rPr>
          <w:rStyle w:val="13"/>
          <w:rFonts w:ascii="仿宋_GB2312" w:eastAsia="仿宋_GB2312"/>
        </w:rPr>
        <w:t>二是</w:t>
      </w:r>
      <w:r>
        <w:t>坚持效益优先原则，全面清理盘活存量资金，集中有限的资金用于稳增长、调结构、惠民生的重点领域和关键环节，累计</w:t>
      </w:r>
      <w:r>
        <w:rPr>
          <w:rFonts w:hint="eastAsia"/>
        </w:rPr>
        <w:t>盘活</w:t>
      </w:r>
      <w:r>
        <w:t>存量资金</w:t>
      </w:r>
      <w:r>
        <w:rPr>
          <w:rFonts w:hint="eastAsia" w:ascii="仿宋_GB2312" w:hAnsi="仿宋_GB2312"/>
        </w:rPr>
        <w:t>16688</w:t>
      </w:r>
      <w:r>
        <w:t>万元。</w:t>
      </w:r>
      <w:r>
        <w:rPr>
          <w:rStyle w:val="13"/>
          <w:rFonts w:ascii="仿宋_GB2312" w:eastAsia="仿宋_GB2312"/>
        </w:rPr>
        <w:t>三是</w:t>
      </w:r>
      <w:r>
        <w:t>压减一般性和非必要项目支出，切实保障</w:t>
      </w:r>
      <w:r>
        <w:rPr>
          <w:rFonts w:hint="eastAsia"/>
        </w:rPr>
        <w:t>“</w:t>
      </w:r>
      <w:r>
        <w:t>三保</w:t>
      </w:r>
      <w:r>
        <w:rPr>
          <w:rFonts w:hint="eastAsia"/>
        </w:rPr>
        <w:t>”</w:t>
      </w:r>
      <w:r>
        <w:t>和重点领域的支出。除刚性</w:t>
      </w:r>
      <w:r>
        <w:rPr>
          <w:rFonts w:hint="eastAsia"/>
        </w:rPr>
        <w:t>支出</w:t>
      </w:r>
      <w:r>
        <w:t>和重点项目外，其他项目的支出平均压减幅度达到</w:t>
      </w:r>
      <w:r>
        <w:rPr>
          <w:rFonts w:hint="eastAsia" w:ascii="仿宋_GB2312" w:hAnsi="仿宋_GB2312"/>
        </w:rPr>
        <w:t>5%</w:t>
      </w:r>
      <w:r>
        <w:t>。</w:t>
      </w:r>
      <w:r>
        <w:rPr>
          <w:rStyle w:val="13"/>
          <w:rFonts w:ascii="仿宋_GB2312" w:eastAsia="仿宋_GB2312"/>
        </w:rPr>
        <w:t>四是</w:t>
      </w:r>
      <w:r>
        <w:t>在人民群众最关心的领域精准保障和改善民生。统筹各类财政资源，加大重点领域投入，确保义务教师工资、基础养老金、债务还本付息等刚性支出需要，着力支持教育科技、生态环保、乡村振兴、疫情防控、汛情防控、冬季取暖等重点领域，更好满足人民群众需求。</w:t>
      </w:r>
    </w:p>
    <w:p>
      <w:pPr>
        <w:pStyle w:val="3"/>
        <w:keepNext w:val="0"/>
        <w:keepLines w:val="0"/>
        <w:overflowPunct w:val="0"/>
        <w:spacing w:line="600" w:lineRule="exact"/>
        <w:ind w:firstLine="643"/>
      </w:pPr>
      <w:r>
        <w:t>（三）突出重点，关键领域打胜仗</w:t>
      </w:r>
    </w:p>
    <w:p>
      <w:pPr>
        <w:overflowPunct w:val="0"/>
        <w:spacing w:line="600" w:lineRule="exact"/>
        <w:ind w:firstLine="640"/>
      </w:pPr>
      <w:r>
        <w:t>县财政部门坚持</w:t>
      </w:r>
      <w:r>
        <w:rPr>
          <w:rFonts w:hint="eastAsia"/>
        </w:rPr>
        <w:t>突出</w:t>
      </w:r>
      <w:r>
        <w:t>重点</w:t>
      </w:r>
      <w:r>
        <w:rPr>
          <w:rFonts w:hint="eastAsia"/>
        </w:rPr>
        <w:t>抓关键</w:t>
      </w:r>
      <w:r>
        <w:t>，</w:t>
      </w:r>
      <w:r>
        <w:rPr>
          <w:rFonts w:hint="eastAsia"/>
        </w:rPr>
        <w:t>以点带面谋发展。</w:t>
      </w:r>
      <w:r>
        <w:rPr>
          <w:rStyle w:val="13"/>
          <w:rFonts w:hint="eastAsia" w:ascii="仿宋_GB2312" w:eastAsia="仿宋_GB2312"/>
        </w:rPr>
        <w:t>一</w:t>
      </w:r>
      <w:r>
        <w:rPr>
          <w:rStyle w:val="13"/>
          <w:rFonts w:ascii="仿宋_GB2312" w:eastAsia="仿宋_GB2312"/>
        </w:rPr>
        <w:t>是</w:t>
      </w:r>
      <w:r>
        <w:rPr>
          <w:color w:val="000000" w:themeColor="text1"/>
        </w:rPr>
        <w:t>保障推进脱贫攻坚有效衔接乡村振兴资金投入力度不减</w:t>
      </w:r>
      <w:r>
        <w:rPr>
          <w:rFonts w:hint="eastAsia" w:ascii="仿宋_GB2312" w:hAnsi="仿宋_GB2312"/>
        </w:rPr>
        <w:t>。2021年</w:t>
      </w:r>
      <w:r>
        <w:rPr>
          <w:rFonts w:hint="eastAsia"/>
        </w:rPr>
        <w:t>，</w:t>
      </w:r>
      <w:r>
        <w:t>安排衔接资金</w:t>
      </w:r>
      <w:r>
        <w:rPr>
          <w:rFonts w:hint="eastAsia" w:ascii="仿宋_GB2312" w:hAnsi="仿宋_GB2312"/>
        </w:rPr>
        <w:t>405</w:t>
      </w:r>
      <w:r>
        <w:t>万元，</w:t>
      </w:r>
      <w:r>
        <w:rPr>
          <w:rFonts w:hint="eastAsia"/>
        </w:rPr>
        <w:t>增长</w:t>
      </w:r>
      <w:r>
        <w:rPr>
          <w:rFonts w:hint="eastAsia" w:ascii="仿宋_GB2312" w:hAnsi="仿宋_GB2312"/>
        </w:rPr>
        <w:t>1.25%，</w:t>
      </w:r>
      <w:r>
        <w:t>并积极争取上级衔接资金</w:t>
      </w:r>
      <w:r>
        <w:rPr>
          <w:rFonts w:hint="eastAsia" w:ascii="仿宋_GB2312" w:hAnsi="仿宋_GB2312"/>
        </w:rPr>
        <w:t>1217</w:t>
      </w:r>
      <w:r>
        <w:rPr>
          <w:rFonts w:hint="eastAsia"/>
        </w:rPr>
        <w:t>万</w:t>
      </w:r>
      <w:r>
        <w:t>元</w:t>
      </w:r>
      <w:r>
        <w:rPr>
          <w:rFonts w:hint="eastAsia"/>
        </w:rPr>
        <w:t>，用于扶贫贷款贴息、特色产业扶贫、雨露计划等项目，推进脱贫攻坚成果与乡村振兴战略有效衔接。高度重视“三农”工作，建立健全“三农”投入稳定增长机制和强农惠农政策支持体系，全年支出</w:t>
      </w:r>
      <w:r>
        <w:rPr>
          <w:rFonts w:hint="eastAsia" w:ascii="仿宋_GB2312" w:hAnsi="仿宋_GB2312"/>
        </w:rPr>
        <w:t>25865万元，增长5.8%</w:t>
      </w:r>
      <w:r>
        <w:rPr>
          <w:rFonts w:hint="eastAsia"/>
        </w:rPr>
        <w:t>，为农业发展、农民增收、农村繁荣提供有力支撑。</w:t>
      </w:r>
      <w:r>
        <w:rPr>
          <w:rStyle w:val="13"/>
          <w:rFonts w:hint="eastAsia" w:ascii="仿宋_GB2312" w:eastAsia="仿宋_GB2312"/>
        </w:rPr>
        <w:t>二</w:t>
      </w:r>
      <w:r>
        <w:rPr>
          <w:rStyle w:val="13"/>
          <w:rFonts w:ascii="仿宋_GB2312" w:eastAsia="仿宋_GB2312"/>
        </w:rPr>
        <w:t>是</w:t>
      </w:r>
      <w:r>
        <w:t>助力污染防治，持续改善生态环境，推动减污降碳协同增效。全年</w:t>
      </w:r>
      <w:r>
        <w:rPr>
          <w:rFonts w:hint="eastAsia"/>
        </w:rPr>
        <w:t>投入专款</w:t>
      </w:r>
      <w:r>
        <w:rPr>
          <w:rFonts w:hint="eastAsia" w:ascii="仿宋_GB2312" w:hAnsi="仿宋_GB2312"/>
        </w:rPr>
        <w:t>8531.8</w:t>
      </w:r>
      <w:r>
        <w:t>万元，用于清洁取暖改造、</w:t>
      </w:r>
      <w:r>
        <w:rPr>
          <w:rFonts w:hint="eastAsia"/>
        </w:rPr>
        <w:t>建制镇污水处理、排水管网雨污分流改造、</w:t>
      </w:r>
      <w:r>
        <w:t>环境卫生综合整治、环卫设施建设、大气、土壤以及水环境保护等工作，为全县环境改善提供了有效保障。</w:t>
      </w:r>
      <w:r>
        <w:rPr>
          <w:rStyle w:val="13"/>
          <w:rFonts w:hint="eastAsia" w:ascii="仿宋_GB2312" w:eastAsia="仿宋_GB2312"/>
        </w:rPr>
        <w:t>三</w:t>
      </w:r>
      <w:r>
        <w:rPr>
          <w:rStyle w:val="13"/>
          <w:rFonts w:ascii="仿宋_GB2312" w:eastAsia="仿宋_GB2312"/>
        </w:rPr>
        <w:t>是</w:t>
      </w:r>
      <w:r>
        <w:t>按照</w:t>
      </w:r>
      <w:r>
        <w:rPr>
          <w:rFonts w:hint="eastAsia"/>
        </w:rPr>
        <w:t>“</w:t>
      </w:r>
      <w:r>
        <w:t>开好前门、严堵后门</w:t>
      </w:r>
      <w:r>
        <w:rPr>
          <w:rFonts w:hint="eastAsia"/>
        </w:rPr>
        <w:t>”</w:t>
      </w:r>
      <w:r>
        <w:t>的思路，健全政府债务管理制度，既有效发挥政府债务融资的积极作用，又坚决防范化解风险，</w:t>
      </w:r>
      <w:r>
        <w:rPr>
          <w:rFonts w:hint="eastAsia" w:ascii="仿宋_GB2312" w:hAnsi="仿宋_GB2312"/>
        </w:rPr>
        <w:t>2021</w:t>
      </w:r>
      <w:r>
        <w:t>年共申请债券资金</w:t>
      </w:r>
      <w:r>
        <w:rPr>
          <w:rFonts w:hint="eastAsia" w:ascii="仿宋_GB2312" w:hAnsi="仿宋_GB2312"/>
        </w:rPr>
        <w:t>19310万元，支持我县重点项目建设，缓解财政压力，有力促进了我县高质量发展，同时做到了政府债务不突破限额。</w:t>
      </w:r>
    </w:p>
    <w:p>
      <w:pPr>
        <w:pStyle w:val="3"/>
        <w:keepNext w:val="0"/>
        <w:keepLines w:val="0"/>
        <w:overflowPunct w:val="0"/>
        <w:spacing w:line="600" w:lineRule="exact"/>
        <w:ind w:firstLine="643"/>
      </w:pPr>
      <w:r>
        <w:t>（四）科学管理，狠抓落实提效能</w:t>
      </w:r>
    </w:p>
    <w:p>
      <w:pPr>
        <w:overflowPunct w:val="0"/>
        <w:spacing w:line="600" w:lineRule="exact"/>
        <w:ind w:firstLine="643"/>
      </w:pPr>
      <w:r>
        <w:rPr>
          <w:rStyle w:val="13"/>
          <w:rFonts w:hint="eastAsia" w:ascii="仿宋_GB2312" w:eastAsia="仿宋_GB2312"/>
        </w:rPr>
        <w:t>一是强化预算支出管理。</w:t>
      </w:r>
      <w:r>
        <w:rPr>
          <w:rFonts w:hint="eastAsia" w:ascii="仿宋_GB2312" w:hAnsi="仿宋_GB2312"/>
        </w:rPr>
        <w:t>严格贯彻落实《预算法》、《预算法实施条例》，及时分解下达上级转移支付资金，加快预算支出进度，严控预算追加。</w:t>
      </w:r>
      <w:r>
        <w:rPr>
          <w:rStyle w:val="13"/>
          <w:rFonts w:ascii="仿宋_GB2312" w:eastAsia="仿宋_GB2312"/>
        </w:rPr>
        <w:t>二是加强预算执行动态监控。</w:t>
      </w:r>
      <w:r>
        <w:rPr>
          <w:rFonts w:hint="eastAsia" w:ascii="仿宋_GB2312" w:hAnsi="仿宋_GB2312"/>
        </w:rPr>
        <w:t>以中央直达资金动态监控为重点，进一步完善预算执行动态监控机制，规范部门预算支出行为，全面清理财政往来款项，加强和规范了财政专户管理。</w:t>
      </w:r>
      <w:r>
        <w:rPr>
          <w:rStyle w:val="13"/>
          <w:rFonts w:ascii="仿宋_GB2312" w:eastAsia="仿宋_GB2312"/>
        </w:rPr>
        <w:t>三是加大财政监督检查和支出绩效评价力度。</w:t>
      </w:r>
      <w:r>
        <w:rPr>
          <w:rFonts w:hint="eastAsia"/>
        </w:rPr>
        <w:t>深入推进事前绩效评估和绩效目标评审相结合的预算源头管理，开展部门重点项目绩效运行监控，切实</w:t>
      </w:r>
      <w:r>
        <w:t>提高财政资金使用绩效</w:t>
      </w:r>
      <w:r>
        <w:rPr>
          <w:rFonts w:hint="eastAsia"/>
        </w:rPr>
        <w:t>。</w:t>
      </w:r>
      <w:r>
        <w:rPr>
          <w:rFonts w:hint="eastAsia" w:ascii="仿宋_GB2312" w:hAnsi="仿宋_GB2312"/>
        </w:rPr>
        <w:t>全年共评价部门整体支出5个，金额9044.32万元；评价项目支出22个，金额4245.88万元</w:t>
      </w:r>
      <w:r>
        <w:t>。</w:t>
      </w:r>
      <w:r>
        <w:rPr>
          <w:rStyle w:val="13"/>
          <w:rFonts w:hint="eastAsia" w:ascii="仿宋_GB2312" w:eastAsia="仿宋_GB2312"/>
        </w:rPr>
        <w:t>四</w:t>
      </w:r>
      <w:r>
        <w:rPr>
          <w:rStyle w:val="13"/>
          <w:rFonts w:ascii="仿宋_GB2312" w:eastAsia="仿宋_GB2312"/>
        </w:rPr>
        <w:t>是加强会计管理工作。</w:t>
      </w:r>
      <w:r>
        <w:rPr>
          <w:rFonts w:hint="eastAsia"/>
        </w:rPr>
        <w:t>规范代理记账行为，推进代理记账行业“放管服效”和“证照分离”改革全覆盖，推广网上业务办理、压缩审批时限、精简审批材料，提高审批效率；组织会计人员培训，加强继续教育工作，不断提高会计人员的能力素质。</w:t>
      </w:r>
    </w:p>
    <w:p>
      <w:pPr>
        <w:pStyle w:val="3"/>
        <w:keepNext w:val="0"/>
        <w:keepLines w:val="0"/>
        <w:overflowPunct w:val="0"/>
        <w:spacing w:line="600" w:lineRule="exact"/>
        <w:ind w:firstLine="643"/>
      </w:pPr>
      <w:r>
        <w:t>（五）深化改革，</w:t>
      </w:r>
      <w:r>
        <w:rPr>
          <w:rFonts w:hint="eastAsia"/>
        </w:rPr>
        <w:t>强势推进勇攻坚</w:t>
      </w:r>
    </w:p>
    <w:p>
      <w:pPr>
        <w:overflowPunct w:val="0"/>
        <w:spacing w:line="600" w:lineRule="exact"/>
        <w:ind w:firstLine="640"/>
      </w:pPr>
      <w:r>
        <w:t>县财政部门找准关键点、切入点与着力点，持续深化改革，不断提升管理能力。</w:t>
      </w:r>
      <w:r>
        <w:rPr>
          <w:rStyle w:val="13"/>
          <w:rFonts w:ascii="仿宋_GB2312" w:eastAsia="仿宋_GB2312"/>
        </w:rPr>
        <w:t>一是</w:t>
      </w:r>
      <w:r>
        <w:rPr>
          <w:rStyle w:val="13"/>
          <w:rFonts w:hint="eastAsia" w:ascii="仿宋_GB2312" w:eastAsia="仿宋_GB2312"/>
        </w:rPr>
        <w:t>深入推进</w:t>
      </w:r>
      <w:r>
        <w:rPr>
          <w:rStyle w:val="13"/>
          <w:rFonts w:ascii="仿宋_GB2312" w:eastAsia="仿宋_GB2312"/>
        </w:rPr>
        <w:t>预算一体化改革。</w:t>
      </w:r>
      <w:r>
        <w:t>明确政府预算项目与部门（单位）预算项目衔接规则，采用</w:t>
      </w:r>
      <w:r>
        <w:rPr>
          <w:rFonts w:hint="eastAsia"/>
        </w:rPr>
        <w:t>“</w:t>
      </w:r>
      <w:r>
        <w:t>业务规范+技术控制</w:t>
      </w:r>
      <w:r>
        <w:rPr>
          <w:rFonts w:hint="eastAsia"/>
        </w:rPr>
        <w:t>”</w:t>
      </w:r>
      <w:r>
        <w:t>方式，以项目库为核心，贯通评审、绩效、评估、申报、审核、储备、预算安排等管理流程，实时记录和动态反映项目全生命周期的预算管理信息，强化对预算执行的控制监管，实现预算管理横向到边、纵向到底，全面构建起了更加规范、安全、高效的财政资金运行体系。</w:t>
      </w:r>
      <w:r>
        <w:rPr>
          <w:rStyle w:val="13"/>
          <w:rFonts w:ascii="仿宋_GB2312" w:eastAsia="仿宋_GB2312"/>
        </w:rPr>
        <w:t>二是全面实现</w:t>
      </w:r>
      <w:r>
        <w:rPr>
          <w:rStyle w:val="13"/>
          <w:rFonts w:hint="eastAsia" w:ascii="仿宋_GB2312" w:eastAsia="仿宋_GB2312"/>
        </w:rPr>
        <w:t>“</w:t>
      </w:r>
      <w:r>
        <w:rPr>
          <w:rStyle w:val="13"/>
          <w:rFonts w:ascii="仿宋_GB2312" w:eastAsia="仿宋_GB2312"/>
        </w:rPr>
        <w:t>政府采购一网通办</w:t>
      </w:r>
      <w:r>
        <w:rPr>
          <w:rStyle w:val="13"/>
          <w:rFonts w:hint="eastAsia" w:ascii="仿宋_GB2312" w:eastAsia="仿宋_GB2312"/>
        </w:rPr>
        <w:t>”</w:t>
      </w:r>
      <w:r>
        <w:rPr>
          <w:rStyle w:val="13"/>
          <w:rFonts w:ascii="仿宋_GB2312" w:eastAsia="仿宋_GB2312"/>
        </w:rPr>
        <w:t>。</w:t>
      </w:r>
      <w:r>
        <w:t>根据省财政厅和市财政局政府采购系统上线的相关要求，我局全面部署，积极推进，落实了</w:t>
      </w:r>
      <w:r>
        <w:rPr>
          <w:rFonts w:hint="eastAsia"/>
        </w:rPr>
        <w:t>“</w:t>
      </w:r>
      <w:r>
        <w:t>政采云</w:t>
      </w:r>
      <w:r>
        <w:rPr>
          <w:rFonts w:hint="eastAsia"/>
        </w:rPr>
        <w:t>”</w:t>
      </w:r>
      <w:r>
        <w:t>平台的上线运行工作，自</w:t>
      </w:r>
      <w:r>
        <w:rPr>
          <w:rFonts w:hint="eastAsia" w:ascii="仿宋_GB2312" w:hAnsi="仿宋_GB2312"/>
        </w:rPr>
        <w:t>7月份上线以来，已有154</w:t>
      </w:r>
      <w:r>
        <w:t>家单位入驻平台，逐步实现了采购项目</w:t>
      </w:r>
      <w:r>
        <w:rPr>
          <w:rFonts w:hint="eastAsia"/>
        </w:rPr>
        <w:t>“</w:t>
      </w:r>
      <w:r>
        <w:t>计划-执行-监管</w:t>
      </w:r>
      <w:r>
        <w:rPr>
          <w:rFonts w:hint="eastAsia"/>
        </w:rPr>
        <w:t>”</w:t>
      </w:r>
      <w:r>
        <w:t>一体化，政府采购</w:t>
      </w:r>
      <w:r>
        <w:rPr>
          <w:rFonts w:hint="eastAsia"/>
        </w:rPr>
        <w:t>“</w:t>
      </w:r>
      <w:r>
        <w:t>不跑腿</w:t>
      </w:r>
      <w:r>
        <w:rPr>
          <w:rFonts w:hint="eastAsia"/>
        </w:rPr>
        <w:t>”、“</w:t>
      </w:r>
      <w:r>
        <w:t>不见面</w:t>
      </w:r>
      <w:r>
        <w:rPr>
          <w:rFonts w:hint="eastAsia"/>
        </w:rPr>
        <w:t>”，</w:t>
      </w:r>
      <w:r>
        <w:t>采购业务一网通办，极大提高了采购效率。</w:t>
      </w:r>
      <w:r>
        <w:rPr>
          <w:rStyle w:val="13"/>
          <w:rFonts w:ascii="仿宋_GB2312" w:eastAsia="仿宋_GB2312"/>
        </w:rPr>
        <w:t>三是绩效管理全覆盖。</w:t>
      </w:r>
      <w:r>
        <w:t>建立了以绩效指标体系构建为起点，涵盖指标体系构建、目标编报、部门自评、绩效报告、</w:t>
      </w:r>
      <w:r>
        <w:rPr>
          <w:rFonts w:hint="eastAsia" w:ascii="仿宋_GB2312" w:hAnsi="仿宋_GB2312"/>
        </w:rPr>
        <w:t>财政评价、结果应用6个步骤在内的全过程部门整体绩效管理流程，6个环节构成一个完整闭环，为深化预算管理制度改革，提升财政资源配置效</w:t>
      </w:r>
      <w:r>
        <w:t>率奠定坚实基础。</w:t>
      </w:r>
    </w:p>
    <w:p>
      <w:pPr>
        <w:overflowPunct w:val="0"/>
        <w:spacing w:line="600" w:lineRule="exact"/>
        <w:ind w:firstLine="640"/>
      </w:pPr>
      <w:r>
        <w:t>一年来，县财政部门攻坚克难、砥砺前行，全县财政经济运行稳中有进，成绩得来十分不易。这是县委、县政府科学决策、正确领导的结果，是县人大、县政协监督指导、关心关爱的结果。但是我们也清醒地认识到，当前财政运行中还面临一定的困难和问题，</w:t>
      </w:r>
      <w:r>
        <w:rPr>
          <w:rStyle w:val="13"/>
          <w:rFonts w:ascii="仿宋_GB2312" w:eastAsia="仿宋_GB2312"/>
        </w:rPr>
        <w:t>一是</w:t>
      </w:r>
      <w:r>
        <w:t>我县产业结构比较单一，收入增长主要依靠传统的钢铁、焦化产业，抵御市场风险能力较弱，而新兴税源培育较慢，同时因受疫情影响，经济增速面临较多不稳定因素，地方收入净增额增长难度大；</w:t>
      </w:r>
      <w:r>
        <w:rPr>
          <w:rStyle w:val="13"/>
          <w:rFonts w:ascii="仿宋_GB2312" w:eastAsia="仿宋_GB2312"/>
        </w:rPr>
        <w:t>二是</w:t>
      </w:r>
      <w:r>
        <w:t>教育、医疗、社保、环保等刚性支出任务繁重，财政收支缺口明显放大，收支矛盾比较突出；</w:t>
      </w:r>
      <w:r>
        <w:rPr>
          <w:rStyle w:val="13"/>
          <w:rFonts w:ascii="仿宋_GB2312" w:eastAsia="仿宋_GB2312"/>
        </w:rPr>
        <w:t>三是</w:t>
      </w:r>
      <w:r>
        <w:t>预算绩效管理水平还有待提高，全面落实科学有效的绩效管理任重道远。面对新时代的各种新问题，我们要继续围绕县委、县政府的战略部署和总体安排，不断总结过往的经验和认知，紧扣新时代财政改革发展新任务新要求，不断克服自身不足，努力完成历史赋予我们的使命，也恳请各位代表、委员一如既往地给予支持和指导。</w:t>
      </w:r>
    </w:p>
    <w:p>
      <w:pPr>
        <w:pStyle w:val="2"/>
        <w:keepNext w:val="0"/>
        <w:keepLines w:val="0"/>
        <w:overflowPunct w:val="0"/>
        <w:spacing w:line="600" w:lineRule="exact"/>
        <w:ind w:firstLine="640"/>
      </w:pPr>
      <w:r>
        <w:t>三、2022年全县预算草案</w:t>
      </w:r>
    </w:p>
    <w:p>
      <w:pPr>
        <w:overflowPunct w:val="0"/>
        <w:spacing w:line="600" w:lineRule="exact"/>
        <w:ind w:firstLine="640"/>
      </w:pPr>
      <w:r>
        <w:rPr>
          <w:rFonts w:hint="eastAsia" w:ascii="仿宋_GB2312" w:hAnsi="仿宋_GB2312"/>
        </w:rPr>
        <w:t>2022</w:t>
      </w:r>
      <w:r>
        <w:t>年是我县</w:t>
      </w:r>
      <w:r>
        <w:rPr>
          <w:rFonts w:hint="eastAsia"/>
        </w:rPr>
        <w:t>“</w:t>
      </w:r>
      <w:r>
        <w:t>十四五</w:t>
      </w:r>
      <w:r>
        <w:rPr>
          <w:rFonts w:hint="eastAsia"/>
        </w:rPr>
        <w:t>”</w:t>
      </w:r>
      <w:r>
        <w:t>转型出雏形承上启下的一年，做好全年的</w:t>
      </w:r>
      <w:r>
        <w:rPr>
          <w:rFonts w:hint="eastAsia"/>
        </w:rPr>
        <w:t>财政</w:t>
      </w:r>
      <w:r>
        <w:t>工作任务繁重、意义重大。</w:t>
      </w:r>
      <w:r>
        <w:rPr>
          <w:rFonts w:hint="eastAsia" w:ascii="仿宋_GB2312" w:hAnsi="仿宋_GB2312"/>
        </w:rPr>
        <w:t>2022</w:t>
      </w:r>
      <w:r>
        <w:t>年全县财政工作</w:t>
      </w:r>
      <w:r>
        <w:rPr>
          <w:rFonts w:hint="eastAsia"/>
        </w:rPr>
        <w:t>总体要求</w:t>
      </w:r>
      <w:r>
        <w:t>是：</w:t>
      </w:r>
      <w:r>
        <w:rPr>
          <w:rFonts w:ascii="黑体" w:hAnsi="黑体" w:eastAsia="黑体" w:cs="Times New Roman"/>
          <w:kern w:val="0"/>
          <w:u w:color="000000"/>
        </w:rPr>
        <w:t>以习近平新时代中国特色社会主义思想为指导，全面贯彻</w:t>
      </w:r>
      <w:r>
        <w:rPr>
          <w:rFonts w:hint="eastAsia" w:ascii="黑体" w:hAnsi="黑体" w:eastAsia="黑体" w:cs="Times New Roman"/>
          <w:kern w:val="0"/>
          <w:u w:color="000000"/>
        </w:rPr>
        <w:t>落实</w:t>
      </w:r>
      <w:r>
        <w:rPr>
          <w:rFonts w:ascii="黑体" w:hAnsi="黑体" w:eastAsia="黑体" w:cs="Times New Roman"/>
          <w:kern w:val="0"/>
          <w:u w:color="000000"/>
        </w:rPr>
        <w:t>党的十九大和十九届历次全会精神，</w:t>
      </w:r>
      <w:r>
        <w:rPr>
          <w:rFonts w:hint="eastAsia" w:ascii="黑体" w:hAnsi="黑体" w:eastAsia="黑体" w:cs="Times New Roman"/>
          <w:kern w:val="0"/>
          <w:u w:color="000000"/>
        </w:rPr>
        <w:t>按照县委、县政府的决策部署，统筹疫情防控和经济社会发展，统筹发展和安全，继续做好</w:t>
      </w:r>
      <w:r>
        <w:rPr>
          <w:rFonts w:ascii="黑体" w:hAnsi="黑体" w:eastAsia="黑体" w:cs="Times New Roman"/>
          <w:kern w:val="0"/>
          <w:u w:color="000000"/>
        </w:rPr>
        <w:t>“六稳”、“六保”工作，</w:t>
      </w:r>
      <w:r>
        <w:rPr>
          <w:rFonts w:hint="eastAsia" w:ascii="黑体" w:hAnsi="黑体" w:eastAsia="黑体" w:cs="Times New Roman"/>
          <w:kern w:val="0"/>
          <w:u w:color="000000"/>
        </w:rPr>
        <w:t>保持经济运行在合理区间，持续改善民生，维护社会稳定，为全力把我县打造成为活力之城、幸福之城、奋斗之城</w:t>
      </w:r>
      <w:r>
        <w:rPr>
          <w:rFonts w:ascii="黑体" w:hAnsi="黑体" w:eastAsia="黑体" w:cs="Times New Roman"/>
          <w:kern w:val="0"/>
          <w:u w:color="000000"/>
        </w:rPr>
        <w:t>提供坚实的财政保障。</w:t>
      </w:r>
    </w:p>
    <w:p>
      <w:pPr>
        <w:overflowPunct w:val="0"/>
        <w:spacing w:line="600" w:lineRule="exact"/>
        <w:ind w:firstLine="640"/>
      </w:pPr>
      <w:r>
        <w:t>根据上述</w:t>
      </w:r>
      <w:r>
        <w:rPr>
          <w:rFonts w:hint="eastAsia"/>
        </w:rPr>
        <w:t>要求</w:t>
      </w:r>
      <w:r>
        <w:t>，</w:t>
      </w:r>
      <w:r>
        <w:rPr>
          <w:rFonts w:hint="eastAsia" w:ascii="仿宋_GB2312" w:hAnsi="仿宋_GB2312"/>
        </w:rPr>
        <w:t>2022</w:t>
      </w:r>
      <w:r>
        <w:t>年预算安排原则如下：</w:t>
      </w:r>
    </w:p>
    <w:p>
      <w:pPr>
        <w:overflowPunct w:val="0"/>
        <w:spacing w:line="600" w:lineRule="exact"/>
        <w:ind w:firstLine="643"/>
      </w:pPr>
      <w:r>
        <w:rPr>
          <w:rStyle w:val="13"/>
          <w:rFonts w:hint="eastAsia" w:ascii="仿宋_GB2312" w:eastAsia="仿宋_GB2312"/>
        </w:rPr>
        <w:t>一是坚持量入为出的原则。</w:t>
      </w:r>
      <w:r>
        <w:t>科学测算收入和财力的可能安排预算，</w:t>
      </w:r>
      <w:r>
        <w:rPr>
          <w:rFonts w:hint="eastAsia"/>
        </w:rPr>
        <w:t>兼顾</w:t>
      </w:r>
      <w:r>
        <w:rPr>
          <w:rStyle w:val="13"/>
          <w:rFonts w:hint="eastAsia" w:ascii="仿宋_GB2312" w:hAnsi="仿宋_GB2312" w:eastAsia="仿宋_GB2312"/>
          <w:b w:val="0"/>
          <w:bCs/>
        </w:rPr>
        <w:t>“一要吃饭、二要建设”，</w:t>
      </w:r>
      <w:r>
        <w:t>做到量力而行</w:t>
      </w:r>
      <w:r>
        <w:rPr>
          <w:rFonts w:hint="eastAsia"/>
        </w:rPr>
        <w:t>，</w:t>
      </w:r>
      <w:r>
        <w:t>收支平衡。</w:t>
      </w:r>
    </w:p>
    <w:p>
      <w:pPr>
        <w:overflowPunct w:val="0"/>
        <w:spacing w:line="600" w:lineRule="exact"/>
        <w:ind w:firstLine="643"/>
      </w:pPr>
      <w:r>
        <w:rPr>
          <w:rStyle w:val="13"/>
          <w:rFonts w:hint="eastAsia" w:ascii="仿宋_GB2312" w:eastAsia="仿宋_GB2312"/>
        </w:rPr>
        <w:t>二是坚持实事求是的原则。</w:t>
      </w:r>
      <w:r>
        <w:rPr>
          <w:rFonts w:hint="eastAsia"/>
        </w:rPr>
        <w:t>从实际出发，</w:t>
      </w:r>
      <w:r>
        <w:t>切实做到收支计划积极稳妥</w:t>
      </w:r>
      <w:r>
        <w:rPr>
          <w:rFonts w:hint="eastAsia"/>
        </w:rPr>
        <w:t>，</w:t>
      </w:r>
      <w:r>
        <w:t>杜绝瞒报、虚报的现象</w:t>
      </w:r>
      <w:r>
        <w:rPr>
          <w:rFonts w:hint="eastAsia"/>
        </w:rPr>
        <w:t>。</w:t>
      </w:r>
    </w:p>
    <w:p>
      <w:pPr>
        <w:overflowPunct w:val="0"/>
        <w:spacing w:line="600" w:lineRule="exact"/>
        <w:ind w:firstLine="643"/>
      </w:pPr>
      <w:r>
        <w:rPr>
          <w:rStyle w:val="13"/>
          <w:rFonts w:ascii="仿宋_GB2312" w:eastAsia="仿宋_GB2312"/>
        </w:rPr>
        <w:t>三是坚持零基预算的原则。</w:t>
      </w:r>
      <w:r>
        <w:t>人员经费按标准核定，公用经费按部门分类分档的定额核定，事业发展和建设项目按轻重缓急排序。</w:t>
      </w:r>
    </w:p>
    <w:p>
      <w:pPr>
        <w:overflowPunct w:val="0"/>
        <w:spacing w:line="600" w:lineRule="exact"/>
        <w:ind w:firstLine="643"/>
      </w:pPr>
      <w:r>
        <w:rPr>
          <w:rStyle w:val="13"/>
          <w:rFonts w:ascii="仿宋_GB2312" w:eastAsia="仿宋_GB2312"/>
        </w:rPr>
        <w:t>四是坚持注重绩效的原则</w:t>
      </w:r>
      <w:r>
        <w:rPr>
          <w:rStyle w:val="13"/>
          <w:rFonts w:hint="eastAsia" w:ascii="仿宋_GB2312" w:eastAsia="仿宋_GB2312"/>
        </w:rPr>
        <w:t>。</w:t>
      </w:r>
      <w:r>
        <w:rPr>
          <w:rFonts w:hint="eastAsia"/>
        </w:rPr>
        <w:t>全面实施预算与绩效管理一体化，加强绩效评价结果应用，坚持“</w:t>
      </w:r>
      <w:r>
        <w:t>花钱必问效，无效必问责</w:t>
      </w:r>
      <w:r>
        <w:rPr>
          <w:rFonts w:hint="eastAsia"/>
        </w:rPr>
        <w:t>”，切实提高财政资金使用效益</w:t>
      </w:r>
      <w:r>
        <w:t>。</w:t>
      </w:r>
    </w:p>
    <w:p>
      <w:pPr>
        <w:pStyle w:val="3"/>
        <w:keepNext w:val="0"/>
        <w:keepLines w:val="0"/>
        <w:overflowPunct w:val="0"/>
        <w:spacing w:line="600" w:lineRule="exact"/>
        <w:ind w:firstLine="643"/>
      </w:pPr>
      <w:r>
        <w:t>（一）一般公共预算</w:t>
      </w:r>
    </w:p>
    <w:p>
      <w:pPr>
        <w:overflowPunct w:val="0"/>
        <w:spacing w:line="600" w:lineRule="exact"/>
        <w:ind w:firstLine="640"/>
        <w:rPr>
          <w:rFonts w:ascii="仿宋_GB2312" w:hAnsi="仿宋_GB2312"/>
        </w:rPr>
      </w:pPr>
      <w:r>
        <w:rPr>
          <w:rFonts w:hint="eastAsia" w:ascii="仿宋_GB2312" w:hAnsi="仿宋_GB2312"/>
        </w:rPr>
        <w:t>2022年全县一般公共预算收入预期目标为6</w:t>
      </w:r>
      <w:r>
        <w:rPr>
          <w:rFonts w:ascii="仿宋_GB2312" w:hAnsi="仿宋_GB2312"/>
        </w:rPr>
        <w:t>2240</w:t>
      </w:r>
      <w:r>
        <w:rPr>
          <w:rFonts w:hint="eastAsia" w:ascii="仿宋_GB2312" w:hAnsi="仿宋_GB2312"/>
        </w:rPr>
        <w:t>万元，比上年增长</w:t>
      </w:r>
      <w:r>
        <w:rPr>
          <w:rFonts w:ascii="仿宋_GB2312" w:hAnsi="仿宋_GB2312"/>
        </w:rPr>
        <w:t>10</w:t>
      </w:r>
      <w:r>
        <w:rPr>
          <w:rFonts w:hint="eastAsia" w:ascii="仿宋_GB2312" w:hAnsi="仿宋_GB2312"/>
        </w:rPr>
        <w:t>%。</w:t>
      </w:r>
    </w:p>
    <w:p>
      <w:pPr>
        <w:overflowPunct w:val="0"/>
        <w:spacing w:line="600" w:lineRule="exact"/>
        <w:ind w:firstLine="640"/>
        <w:rPr>
          <w:rFonts w:ascii="仿宋_GB2312" w:hAnsi="仿宋_GB2312"/>
        </w:rPr>
      </w:pPr>
      <w:r>
        <w:rPr>
          <w:rFonts w:hint="eastAsia" w:ascii="仿宋_GB2312" w:hAnsi="仿宋_GB2312"/>
        </w:rPr>
        <w:t>2022年全县一般公共预算支出安排19</w:t>
      </w:r>
      <w:r>
        <w:rPr>
          <w:rFonts w:ascii="仿宋_GB2312" w:hAnsi="仿宋_GB2312"/>
        </w:rPr>
        <w:t>7978</w:t>
      </w:r>
      <w:r>
        <w:rPr>
          <w:rFonts w:hint="eastAsia" w:ascii="仿宋_GB2312" w:hAnsi="仿宋_GB2312"/>
        </w:rPr>
        <w:t>万元，其中：财力安排</w:t>
      </w:r>
      <w:r>
        <w:rPr>
          <w:rFonts w:hint="eastAsia" w:ascii="仿宋_GB2312" w:hAnsi="仿宋_GB2312"/>
          <w:lang w:val="en-US" w:eastAsia="zh-CN"/>
        </w:rPr>
        <w:t>141709</w:t>
      </w:r>
      <w:r>
        <w:rPr>
          <w:rFonts w:hint="eastAsia" w:ascii="仿宋_GB2312" w:hAnsi="仿宋_GB2312"/>
        </w:rPr>
        <w:t>万元，上年结转</w:t>
      </w:r>
      <w:r>
        <w:rPr>
          <w:rFonts w:hint="eastAsia" w:ascii="仿宋_GB2312" w:hAnsi="仿宋_GB2312"/>
          <w:lang w:val="en-US" w:eastAsia="zh-CN"/>
        </w:rPr>
        <w:t>24330</w:t>
      </w:r>
      <w:r>
        <w:rPr>
          <w:rFonts w:hint="eastAsia" w:ascii="仿宋_GB2312" w:hAnsi="仿宋_GB2312"/>
        </w:rPr>
        <w:t>万元（含年底下达的中央灾后恢复重建财力补助资金1664万元，拟安排用于全县因灾受损的水利、道路、学校等恢复重建支出），提前告知转移支付31939万元，动用预算稳定调节基金</w:t>
      </w:r>
      <w:r>
        <w:rPr>
          <w:rFonts w:hint="eastAsia" w:ascii="仿宋_GB2312" w:hAnsi="仿宋_GB2312"/>
          <w:lang w:val="en-US" w:eastAsia="zh-CN"/>
        </w:rPr>
        <w:t>10159</w:t>
      </w:r>
      <w:r>
        <w:rPr>
          <w:rFonts w:hint="eastAsia" w:ascii="仿宋_GB2312" w:hAnsi="仿宋_GB2312"/>
        </w:rPr>
        <w:t>万元，比2021年向县十七届人大一次会议备案预算同口径增长</w:t>
      </w:r>
      <w:r>
        <w:rPr>
          <w:rFonts w:ascii="仿宋_GB2312" w:hAnsi="仿宋_GB2312"/>
        </w:rPr>
        <w:t>38.1</w:t>
      </w:r>
      <w:r>
        <w:rPr>
          <w:rFonts w:hint="eastAsia" w:ascii="仿宋_GB2312" w:hAnsi="仿宋_GB2312"/>
        </w:rPr>
        <w:t>%。主要支出项目安排情况是：一般公共服务支出22603万元，增长22.13%；教育支出33357万元，增长21.27%；科学技术支出187万元，下降12.73%；文化体育与传媒支出5681万元，增长</w:t>
      </w:r>
      <w:r>
        <w:rPr>
          <w:rFonts w:hint="eastAsia" w:ascii="仿宋_GB2312" w:hAnsi="仿宋_GB2312"/>
          <w:lang w:val="en-US" w:eastAsia="zh-CN"/>
        </w:rPr>
        <w:t>56.03</w:t>
      </w:r>
      <w:r>
        <w:rPr>
          <w:rFonts w:hint="eastAsia" w:ascii="仿宋_GB2312" w:hAnsi="仿宋_GB2312"/>
        </w:rPr>
        <w:t>%；社会保障和就业支出37121万元，增长</w:t>
      </w:r>
      <w:r>
        <w:rPr>
          <w:rFonts w:hint="eastAsia" w:ascii="仿宋_GB2312" w:hAnsi="仿宋_GB2312"/>
          <w:lang w:val="en-US" w:eastAsia="zh-CN"/>
        </w:rPr>
        <w:t>25.21</w:t>
      </w:r>
      <w:r>
        <w:rPr>
          <w:rFonts w:hint="eastAsia" w:ascii="仿宋_GB2312" w:hAnsi="仿宋_GB2312"/>
        </w:rPr>
        <w:t>%；卫生健康支出25846万元，增长11.</w:t>
      </w:r>
      <w:r>
        <w:rPr>
          <w:rFonts w:hint="eastAsia" w:ascii="仿宋_GB2312" w:hAnsi="仿宋_GB2312"/>
          <w:lang w:val="en-US" w:eastAsia="zh-CN"/>
        </w:rPr>
        <w:t>67</w:t>
      </w:r>
      <w:r>
        <w:rPr>
          <w:rFonts w:hint="eastAsia" w:ascii="仿宋_GB2312" w:hAnsi="仿宋_GB2312"/>
        </w:rPr>
        <w:t>%；交通运输支出4307万元，增长</w:t>
      </w:r>
      <w:r>
        <w:rPr>
          <w:rFonts w:hint="eastAsia" w:ascii="仿宋_GB2312" w:hAnsi="仿宋_GB2312"/>
          <w:lang w:val="en-US" w:eastAsia="zh-CN"/>
        </w:rPr>
        <w:t>79.61</w:t>
      </w:r>
      <w:r>
        <w:rPr>
          <w:rFonts w:hint="eastAsia" w:ascii="仿宋_GB2312" w:hAnsi="仿宋_GB2312"/>
        </w:rPr>
        <w:t>%；自然资源海洋气象等支出2685万元，增长51.87%；公共安全支出9134万元，增长</w:t>
      </w:r>
      <w:r>
        <w:rPr>
          <w:rFonts w:hint="eastAsia" w:ascii="仿宋_GB2312" w:hAnsi="仿宋_GB2312"/>
          <w:lang w:val="en-US" w:eastAsia="zh-CN"/>
        </w:rPr>
        <w:t>35.8</w:t>
      </w:r>
      <w:r>
        <w:rPr>
          <w:rFonts w:hint="eastAsia" w:ascii="仿宋_GB2312" w:hAnsi="仿宋_GB2312"/>
        </w:rPr>
        <w:t>%；节能环保支出7341万元，增长449.89%；城乡社区支出7491万元，增长51.67%；农林水支出22528万元，增长68.94%；住房保障支出4984万元，增长18.05%；灾害防治及应急管理支出3866万元，增长</w:t>
      </w:r>
      <w:r>
        <w:rPr>
          <w:rFonts w:hint="eastAsia" w:ascii="仿宋_GB2312" w:hAnsi="仿宋_GB2312"/>
          <w:lang w:val="en-US" w:eastAsia="zh-CN"/>
        </w:rPr>
        <w:t>227.63</w:t>
      </w:r>
      <w:bookmarkStart w:id="0" w:name="_GoBack"/>
      <w:bookmarkEnd w:id="0"/>
      <w:r>
        <w:rPr>
          <w:rFonts w:hint="eastAsia" w:ascii="仿宋_GB2312" w:hAnsi="仿宋_GB2312"/>
        </w:rPr>
        <w:t>%（含上年结转1664万元灾后恢复重建财力补助资金）；预备费1700万元；地方政府一般债券付息支出1250万元。</w:t>
      </w:r>
    </w:p>
    <w:p>
      <w:pPr>
        <w:pStyle w:val="3"/>
        <w:keepNext w:val="0"/>
        <w:keepLines w:val="0"/>
        <w:overflowPunct w:val="0"/>
        <w:spacing w:line="600" w:lineRule="exact"/>
        <w:ind w:firstLine="643"/>
      </w:pPr>
      <w:r>
        <w:rPr>
          <w:rFonts w:hint="eastAsia"/>
        </w:rPr>
        <w:t>（二）政府性基金预算</w:t>
      </w:r>
    </w:p>
    <w:p>
      <w:pPr>
        <w:overflowPunct w:val="0"/>
        <w:spacing w:line="600" w:lineRule="exact"/>
        <w:ind w:firstLine="640"/>
        <w:rPr>
          <w:rFonts w:ascii="仿宋_GB2312" w:hAnsi="仿宋_GB2312"/>
        </w:rPr>
      </w:pPr>
      <w:r>
        <w:rPr>
          <w:rFonts w:hint="eastAsia" w:ascii="仿宋_GB2312" w:hAnsi="仿宋_GB2312"/>
        </w:rPr>
        <w:t>2022年全县政府性基金预算收入</w:t>
      </w:r>
      <w:r>
        <w:rPr>
          <w:rFonts w:ascii="仿宋_GB2312" w:hAnsi="仿宋_GB2312"/>
        </w:rPr>
        <w:t>40700</w:t>
      </w:r>
      <w:r>
        <w:rPr>
          <w:rFonts w:hint="eastAsia" w:ascii="仿宋_GB2312" w:hAnsi="仿宋_GB2312"/>
        </w:rPr>
        <w:t>万元，比上年增长</w:t>
      </w:r>
      <w:r>
        <w:rPr>
          <w:rFonts w:ascii="仿宋_GB2312" w:hAnsi="仿宋_GB2312"/>
        </w:rPr>
        <w:t>20.97</w:t>
      </w:r>
      <w:r>
        <w:rPr>
          <w:rFonts w:hint="eastAsia" w:ascii="仿宋_GB2312" w:hAnsi="仿宋_GB2312"/>
        </w:rPr>
        <w:t>%；预算支出安排6</w:t>
      </w:r>
      <w:r>
        <w:rPr>
          <w:rFonts w:ascii="仿宋_GB2312" w:hAnsi="仿宋_GB2312"/>
        </w:rPr>
        <w:t>7590</w:t>
      </w:r>
      <w:r>
        <w:rPr>
          <w:rFonts w:hint="eastAsia" w:ascii="仿宋_GB2312" w:hAnsi="仿宋_GB2312"/>
        </w:rPr>
        <w:t>万元（含上年结转），同口径增长1</w:t>
      </w:r>
      <w:r>
        <w:rPr>
          <w:rFonts w:ascii="仿宋_GB2312" w:hAnsi="仿宋_GB2312"/>
        </w:rPr>
        <w:t>18.92</w:t>
      </w:r>
      <w:r>
        <w:rPr>
          <w:rFonts w:hint="eastAsia" w:ascii="仿宋_GB2312" w:hAnsi="仿宋_GB2312"/>
        </w:rPr>
        <w:t>%。</w:t>
      </w:r>
    </w:p>
    <w:p>
      <w:pPr>
        <w:pStyle w:val="3"/>
        <w:keepNext w:val="0"/>
        <w:keepLines w:val="0"/>
        <w:overflowPunct w:val="0"/>
        <w:spacing w:line="600" w:lineRule="exact"/>
        <w:ind w:firstLine="643"/>
      </w:pPr>
      <w:r>
        <w:rPr>
          <w:rFonts w:hint="eastAsia"/>
        </w:rPr>
        <w:t>（三）社会保险基金预算</w:t>
      </w:r>
    </w:p>
    <w:p>
      <w:pPr>
        <w:overflowPunct w:val="0"/>
        <w:spacing w:line="600" w:lineRule="exact"/>
        <w:ind w:firstLine="640"/>
        <w:rPr>
          <w:rFonts w:ascii="仿宋_GB2312" w:hAnsi="仿宋_GB2312"/>
        </w:rPr>
      </w:pPr>
      <w:r>
        <w:rPr>
          <w:rFonts w:hint="eastAsia" w:ascii="仿宋_GB2312" w:hAnsi="仿宋_GB2312"/>
        </w:rPr>
        <w:t>2022年全县社会保险基金预算收入32150万元，预算支出28945万元。</w:t>
      </w:r>
    </w:p>
    <w:p>
      <w:pPr>
        <w:pStyle w:val="3"/>
        <w:keepNext w:val="0"/>
        <w:keepLines w:val="0"/>
        <w:overflowPunct w:val="0"/>
        <w:spacing w:line="600" w:lineRule="exact"/>
        <w:ind w:firstLine="643"/>
      </w:pPr>
      <w:r>
        <w:rPr>
          <w:rFonts w:hint="eastAsia"/>
        </w:rPr>
        <w:t>（四）“三公”经费预算</w:t>
      </w:r>
    </w:p>
    <w:p>
      <w:pPr>
        <w:overflowPunct w:val="0"/>
        <w:spacing w:line="600" w:lineRule="exact"/>
        <w:ind w:firstLine="640"/>
        <w:rPr>
          <w:rFonts w:ascii="仿宋_GB2312" w:hAnsi="仿宋_GB2312"/>
        </w:rPr>
      </w:pPr>
      <w:r>
        <w:rPr>
          <w:rFonts w:hint="eastAsia" w:ascii="仿宋_GB2312" w:hAnsi="仿宋_GB2312"/>
        </w:rPr>
        <w:t>经汇总，2022年全县安排“三公”经费预算744万元，较2021年有所减少，下降1.2%。其中:车辆购置及运行维护费536万元(其中公务车辆运行维护费80万元)，下降1.47%；公务接待费208万元，下降0.48%。</w:t>
      </w:r>
    </w:p>
    <w:p>
      <w:pPr>
        <w:overflowPunct w:val="0"/>
        <w:spacing w:line="600" w:lineRule="exact"/>
        <w:ind w:firstLine="640"/>
      </w:pPr>
      <w:r>
        <w:rPr>
          <w:rFonts w:hint="eastAsia" w:ascii="仿宋_GB2312" w:hAnsi="仿宋_GB2312"/>
        </w:rPr>
        <w:t>以上预算安排的具体情况详见《2021年曲沃县预算执行情况及2022年曲沃县预算（草案）》。</w:t>
      </w:r>
    </w:p>
    <w:p>
      <w:pPr>
        <w:pStyle w:val="2"/>
        <w:keepNext w:val="0"/>
        <w:keepLines w:val="0"/>
        <w:numPr>
          <w:ilvl w:val="0"/>
          <w:numId w:val="1"/>
        </w:numPr>
        <w:overflowPunct w:val="0"/>
        <w:spacing w:line="600" w:lineRule="exact"/>
        <w:ind w:firstLine="640"/>
      </w:pPr>
      <w:r>
        <w:t>完成2022年预算任务的主要工作和措施</w:t>
      </w:r>
    </w:p>
    <w:p>
      <w:pPr>
        <w:overflowPunct w:val="0"/>
        <w:spacing w:line="600" w:lineRule="exact"/>
        <w:ind w:firstLine="640"/>
      </w:pPr>
      <w:r>
        <w:rPr>
          <w:rFonts w:hint="eastAsia" w:ascii="仿宋_GB2312" w:hAnsi="仿宋_GB2312"/>
        </w:rPr>
        <w:t>2022</w:t>
      </w:r>
      <w:r>
        <w:t>年，在习近平新时代中国特色社会主义思想指导下，</w:t>
      </w:r>
      <w:r>
        <w:rPr>
          <w:rFonts w:hint="eastAsia"/>
        </w:rPr>
        <w:t>县财政部门将</w:t>
      </w:r>
      <w:r>
        <w:t>全面贯彻落实</w:t>
      </w:r>
      <w:r>
        <w:rPr>
          <w:rFonts w:hint="eastAsia"/>
        </w:rPr>
        <w:t>中央、省、市</w:t>
      </w:r>
      <w:r>
        <w:t>及</w:t>
      </w:r>
      <w:r>
        <w:rPr>
          <w:rFonts w:hint="eastAsia"/>
        </w:rPr>
        <w:t>县</w:t>
      </w:r>
      <w:r>
        <w:t>委</w:t>
      </w:r>
      <w:r>
        <w:rPr>
          <w:rFonts w:hint="eastAsia"/>
        </w:rPr>
        <w:t>县</w:t>
      </w:r>
      <w:r>
        <w:t>政府决策部署，</w:t>
      </w:r>
      <w:r>
        <w:rPr>
          <w:rFonts w:hint="eastAsia"/>
        </w:rPr>
        <w:t>坚持稳字当头、稳中求进，统筹疫情防控和经济社会发展，统筹发展和安全，继续做好“六稳”“六保”工作，推动民生事业健康发展，全面</w:t>
      </w:r>
      <w:r>
        <w:t>深化财政改革，切实加强财政管理和服务，</w:t>
      </w:r>
      <w:r>
        <w:rPr>
          <w:rFonts w:hint="eastAsia"/>
        </w:rPr>
        <w:t>以更全面的“稳”，保障更高质量的“进”，努力实现多重目标的动态平衡，</w:t>
      </w:r>
      <w:r>
        <w:t>助力全</w:t>
      </w:r>
      <w:r>
        <w:rPr>
          <w:rFonts w:hint="eastAsia"/>
        </w:rPr>
        <w:t>县</w:t>
      </w:r>
      <w:r>
        <w:t>经济社会高质量发展。我们的主要工作措施是：</w:t>
      </w:r>
    </w:p>
    <w:p>
      <w:pPr>
        <w:pStyle w:val="3"/>
        <w:keepNext w:val="0"/>
        <w:keepLines w:val="0"/>
        <w:overflowPunct w:val="0"/>
        <w:spacing w:line="600" w:lineRule="exact"/>
        <w:ind w:firstLine="643"/>
      </w:pPr>
      <w:r>
        <w:rPr>
          <w:rFonts w:hint="eastAsia"/>
        </w:rPr>
        <w:t>（一）</w:t>
      </w:r>
      <w:r>
        <w:t>壮大财源，积极推动财政增收</w:t>
      </w:r>
    </w:p>
    <w:p>
      <w:pPr>
        <w:overflowPunct w:val="0"/>
        <w:spacing w:line="600" w:lineRule="exact"/>
        <w:ind w:firstLine="643"/>
      </w:pPr>
      <w:r>
        <w:rPr>
          <w:rStyle w:val="13"/>
          <w:rFonts w:ascii="仿宋_GB2312" w:eastAsia="仿宋_GB2312"/>
        </w:rPr>
        <w:t>一是加强税源建设</w:t>
      </w:r>
      <w:r>
        <w:rPr>
          <w:rStyle w:val="13"/>
          <w:rFonts w:hint="eastAsia" w:ascii="仿宋_GB2312" w:eastAsia="仿宋_GB2312"/>
        </w:rPr>
        <w:t>。</w:t>
      </w:r>
      <w:r>
        <w:t>发挥财政政策和资金导向作用，加大对新兴产业、高技术产业、第三产业支持力度，</w:t>
      </w:r>
      <w:r>
        <w:rPr>
          <w:rFonts w:hint="eastAsia"/>
        </w:rPr>
        <w:t>引导产业结构调整优化，促进经济增长方式转变，</w:t>
      </w:r>
      <w:r>
        <w:t>推动县域经济</w:t>
      </w:r>
      <w:r>
        <w:rPr>
          <w:rFonts w:hint="eastAsia"/>
        </w:rPr>
        <w:t>健康</w:t>
      </w:r>
      <w:r>
        <w:t>发展</w:t>
      </w:r>
      <w:r>
        <w:rPr>
          <w:rFonts w:hint="eastAsia"/>
        </w:rPr>
        <w:t>。</w:t>
      </w:r>
      <w:r>
        <w:rPr>
          <w:rStyle w:val="13"/>
          <w:rFonts w:ascii="仿宋_GB2312" w:eastAsia="仿宋_GB2312"/>
        </w:rPr>
        <w:t>二是加大争取资金力度</w:t>
      </w:r>
      <w:r>
        <w:rPr>
          <w:rStyle w:val="13"/>
          <w:rFonts w:hint="eastAsia" w:ascii="仿宋_GB2312" w:eastAsia="仿宋_GB2312"/>
        </w:rPr>
        <w:t>。</w:t>
      </w:r>
      <w:r>
        <w:rPr>
          <w:rFonts w:hint="eastAsia"/>
        </w:rPr>
        <w:t>紧密跟踪、研判、吃透、中央、省、市“六稳”、“六保”的政策机遇，谋划一批具有战略性和事关我县振兴发展的好项目，加大向上争取政策和资金补助力度，特别是积极争取专项债券资金，全力缓解财政平衡压力。</w:t>
      </w:r>
      <w:r>
        <w:rPr>
          <w:rStyle w:val="13"/>
          <w:rFonts w:ascii="仿宋_GB2312" w:eastAsia="仿宋_GB2312"/>
        </w:rPr>
        <w:t>三是优化营商环境</w:t>
      </w:r>
      <w:r>
        <w:rPr>
          <w:rStyle w:val="13"/>
          <w:rFonts w:hint="eastAsia" w:ascii="仿宋_GB2312" w:eastAsia="仿宋_GB2312"/>
        </w:rPr>
        <w:t>，</w:t>
      </w:r>
      <w:r>
        <w:rPr>
          <w:rStyle w:val="13"/>
          <w:rFonts w:ascii="仿宋_GB2312" w:eastAsia="仿宋_GB2312"/>
        </w:rPr>
        <w:t>落实惠企政策</w:t>
      </w:r>
      <w:r>
        <w:rPr>
          <w:rStyle w:val="13"/>
          <w:rFonts w:hint="eastAsia" w:ascii="仿宋_GB2312" w:eastAsia="仿宋_GB2312"/>
        </w:rPr>
        <w:t>。</w:t>
      </w:r>
      <w:r>
        <w:rPr>
          <w:rFonts w:hint="eastAsia"/>
        </w:rPr>
        <w:t>继续落实好制度性减税降费政策，并加大各类违规涉企收费整治力度，坚决防止弱化减税降费政策红利。同时加快融资担保体系建设，发挥政府性融资担保机构作用，</w:t>
      </w:r>
      <w:r>
        <w:t>持续激发市场活力，助力市场主体做大做强，实现产业结构多元化发展</w:t>
      </w:r>
      <w:r>
        <w:rPr>
          <w:rFonts w:hint="eastAsia"/>
        </w:rPr>
        <w:t>。</w:t>
      </w:r>
    </w:p>
    <w:p>
      <w:pPr>
        <w:pStyle w:val="3"/>
        <w:keepNext w:val="0"/>
        <w:keepLines w:val="0"/>
        <w:overflowPunct w:val="0"/>
        <w:spacing w:line="600" w:lineRule="exact"/>
        <w:ind w:firstLine="643"/>
      </w:pPr>
      <w:r>
        <w:t>（二）严控关口，兜牢</w:t>
      </w:r>
      <w:r>
        <w:rPr>
          <w:rFonts w:hint="eastAsia"/>
        </w:rPr>
        <w:t>“</w:t>
      </w:r>
      <w:r>
        <w:t>三保</w:t>
      </w:r>
      <w:r>
        <w:rPr>
          <w:rFonts w:hint="eastAsia"/>
        </w:rPr>
        <w:t>”</w:t>
      </w:r>
      <w:r>
        <w:t>底线</w:t>
      </w:r>
    </w:p>
    <w:p>
      <w:pPr>
        <w:overflowPunct w:val="0"/>
        <w:spacing w:line="600" w:lineRule="exact"/>
        <w:ind w:firstLine="640"/>
      </w:pPr>
      <w:r>
        <w:t>把加强</w:t>
      </w:r>
      <w:r>
        <w:rPr>
          <w:rFonts w:hint="eastAsia"/>
        </w:rPr>
        <w:t>“</w:t>
      </w:r>
      <w:r>
        <w:t>三保</w:t>
      </w:r>
      <w:r>
        <w:rPr>
          <w:rFonts w:hint="eastAsia"/>
        </w:rPr>
        <w:t>”</w:t>
      </w:r>
      <w:r>
        <w:t>作为当前财政工作最根本的出发点和落脚点，牢牢将</w:t>
      </w:r>
      <w:r>
        <w:rPr>
          <w:rFonts w:hint="eastAsia"/>
        </w:rPr>
        <w:t>“三保”</w:t>
      </w:r>
      <w:r>
        <w:t>支出控制在预算盘子内。</w:t>
      </w:r>
      <w:r>
        <w:rPr>
          <w:rStyle w:val="13"/>
          <w:rFonts w:ascii="仿宋_GB2312" w:eastAsia="仿宋_GB2312"/>
        </w:rPr>
        <w:t>一是压减日常开支。</w:t>
      </w:r>
      <w:r>
        <w:t>认真贯彻</w:t>
      </w:r>
      <w:r>
        <w:rPr>
          <w:rFonts w:hint="eastAsia"/>
        </w:rPr>
        <w:t>党</w:t>
      </w:r>
      <w:r>
        <w:t>中央</w:t>
      </w:r>
      <w:r>
        <w:rPr>
          <w:rFonts w:hint="eastAsia"/>
        </w:rPr>
        <w:t>、</w:t>
      </w:r>
      <w:r>
        <w:t>国务院</w:t>
      </w:r>
      <w:r>
        <w:rPr>
          <w:rFonts w:hint="eastAsia"/>
        </w:rPr>
        <w:t>有关</w:t>
      </w:r>
      <w:r>
        <w:t>规定，牢固树立过</w:t>
      </w:r>
      <w:r>
        <w:rPr>
          <w:rFonts w:hint="eastAsia"/>
        </w:rPr>
        <w:t>“紧日子”</w:t>
      </w:r>
      <w:r>
        <w:t>思想，厉行节约反对浪费，</w:t>
      </w:r>
      <w:r>
        <w:rPr>
          <w:rFonts w:hint="eastAsia"/>
        </w:rPr>
        <w:t>“三公”</w:t>
      </w:r>
      <w:r>
        <w:t>经费只减不增，一般性支出和非急需、非刚性支出进一步压减。</w:t>
      </w:r>
      <w:r>
        <w:rPr>
          <w:rStyle w:val="13"/>
          <w:rFonts w:ascii="仿宋_GB2312" w:eastAsia="仿宋_GB2312"/>
        </w:rPr>
        <w:t>二是严控预算安排。</w:t>
      </w:r>
      <w:r>
        <w:t>继续坚持</w:t>
      </w:r>
      <w:r>
        <w:rPr>
          <w:rFonts w:hint="eastAsia"/>
        </w:rPr>
        <w:t>“</w:t>
      </w:r>
      <w:r>
        <w:t>先有预算后有支出</w:t>
      </w:r>
      <w:r>
        <w:rPr>
          <w:rFonts w:hint="eastAsia"/>
        </w:rPr>
        <w:t>”</w:t>
      </w:r>
      <w:r>
        <w:t>，无预算、超预算原则上不得安排支出，督促整改预算执行中铺张浪费、绩效低下的项目，一律削减或取消把关不严、低效无效的资金。</w:t>
      </w:r>
      <w:r>
        <w:rPr>
          <w:rStyle w:val="13"/>
          <w:rFonts w:ascii="仿宋_GB2312" w:eastAsia="仿宋_GB2312"/>
        </w:rPr>
        <w:t>三是严格财务管理。</w:t>
      </w:r>
      <w:r>
        <w:t>健全完善内部财务管理制度，定期检查审计，提高财务管理水平，堵塞制度漏洞，确保收支平衡，严防管理风险。</w:t>
      </w:r>
    </w:p>
    <w:p>
      <w:pPr>
        <w:pStyle w:val="3"/>
        <w:keepNext w:val="0"/>
        <w:keepLines w:val="0"/>
        <w:overflowPunct w:val="0"/>
        <w:spacing w:line="600" w:lineRule="exact"/>
        <w:ind w:firstLine="643"/>
      </w:pPr>
      <w:r>
        <w:rPr>
          <w:rFonts w:hint="eastAsia"/>
        </w:rPr>
        <w:t>（三）</w:t>
      </w:r>
      <w:r>
        <w:t>重点发力，实现关键领域再突破</w:t>
      </w:r>
    </w:p>
    <w:p>
      <w:pPr>
        <w:overflowPunct w:val="0"/>
        <w:spacing w:line="600" w:lineRule="exact"/>
        <w:ind w:firstLine="643"/>
      </w:pPr>
      <w:r>
        <w:rPr>
          <w:rStyle w:val="13"/>
          <w:rFonts w:hint="eastAsia" w:ascii="仿宋_GB2312" w:eastAsia="仿宋_GB2312"/>
        </w:rPr>
        <w:t>一是推进脱贫攻坚有效衔接乡村振兴。</w:t>
      </w:r>
      <w:r>
        <w:t>建立健全涉农资金统筹整合使用长效机制</w:t>
      </w:r>
      <w:r>
        <w:rPr>
          <w:rFonts w:hint="eastAsia"/>
        </w:rPr>
        <w:t>，</w:t>
      </w:r>
      <w:r>
        <w:t>提升涉农资金使用</w:t>
      </w:r>
      <w:r>
        <w:rPr>
          <w:rFonts w:hint="eastAsia"/>
        </w:rPr>
        <w:t>效益；加大农村基础设施、公共服务建设投入力度，在补齐短板的基础上着力推动提档升级，不断改善农村生产生活条件；大力支持发展优势特色农业、农业产业化经营、农业综合开发、农业科技创新，促进农业高质高效、农村宜居宜业、农民富裕富足。</w:t>
      </w:r>
      <w:r>
        <w:rPr>
          <w:rStyle w:val="13"/>
          <w:rFonts w:hint="eastAsia" w:ascii="仿宋_GB2312" w:eastAsia="仿宋_GB2312"/>
        </w:rPr>
        <w:t>二是支持打好污染防治攻坚战。</w:t>
      </w:r>
      <w:r>
        <w:rPr>
          <w:rFonts w:hint="eastAsia"/>
        </w:rPr>
        <w:t>积极践行“两山”理论，</w:t>
      </w:r>
      <w:r>
        <w:rPr>
          <w:rFonts w:ascii="Arial" w:hAnsi="Arial" w:cs="Arial"/>
          <w:color w:val="191919"/>
          <w:shd w:val="clear" w:color="auto" w:fill="FFFFFF"/>
        </w:rPr>
        <w:t>财政资金从主要投向基础设施建设、产业发展等方面，逐步转向生态农业、生态工业、生态旅游、生态文化等各个方面</w:t>
      </w:r>
      <w:r>
        <w:rPr>
          <w:rFonts w:hint="eastAsia" w:ascii="Arial" w:hAnsi="Arial" w:cs="Arial"/>
          <w:color w:val="191919"/>
          <w:shd w:val="clear" w:color="auto" w:fill="FFFFFF"/>
        </w:rPr>
        <w:t>，同时努力</w:t>
      </w:r>
      <w:r>
        <w:rPr>
          <w:rFonts w:hint="eastAsia"/>
        </w:rPr>
        <w:t>争取支持清洁生产、技改、循环节约型企业项目资金，足额落实县级配套资金，将经济发展与生态环境保护有机结合、共同发展。</w:t>
      </w:r>
      <w:r>
        <w:rPr>
          <w:rStyle w:val="13"/>
          <w:rFonts w:hint="eastAsia" w:ascii="仿宋_GB2312" w:eastAsia="仿宋_GB2312"/>
        </w:rPr>
        <w:t>三是防范化解政府债务风险。</w:t>
      </w:r>
      <w:r>
        <w:t>坚决遏制新增隐性债务，严格化解隐性债务与暂付款。通过积极盘活存量资金保障偿还到期债务和申请债券置换等措施控制债务规模，将政府债务率控制在绿色安全区域内。</w:t>
      </w:r>
    </w:p>
    <w:p>
      <w:pPr>
        <w:pStyle w:val="3"/>
        <w:keepNext w:val="0"/>
        <w:keepLines w:val="0"/>
        <w:overflowPunct w:val="0"/>
        <w:spacing w:line="600" w:lineRule="exact"/>
        <w:ind w:firstLine="643"/>
      </w:pPr>
      <w:r>
        <w:rPr>
          <w:rFonts w:hint="eastAsia"/>
        </w:rPr>
        <w:t>（四）</w:t>
      </w:r>
      <w:r>
        <w:t>发挥职能，推动各项事业发展</w:t>
      </w:r>
    </w:p>
    <w:p>
      <w:pPr>
        <w:numPr>
          <w:ilvl w:val="255"/>
          <w:numId w:val="0"/>
        </w:numPr>
        <w:overflowPunct w:val="0"/>
        <w:spacing w:line="600" w:lineRule="exact"/>
        <w:ind w:firstLine="643" w:firstLineChars="200"/>
      </w:pPr>
      <w:r>
        <w:rPr>
          <w:rStyle w:val="13"/>
          <w:rFonts w:hint="eastAsia" w:ascii="仿宋_GB2312" w:eastAsia="仿宋_GB2312"/>
        </w:rPr>
        <w:t>一是继续支持教育事业发展。</w:t>
      </w:r>
      <w:r>
        <w:t>深化教育振兴，加快完善普惠性学前教育和特殊教育，提高义务教育优质均衡发展和城乡一体化发展水平，大力建设教育强县。</w:t>
      </w:r>
      <w:r>
        <w:rPr>
          <w:rStyle w:val="13"/>
          <w:rFonts w:hint="eastAsia" w:ascii="仿宋_GB2312" w:eastAsia="仿宋_GB2312"/>
        </w:rPr>
        <w:t>二是支持文化事业健康发展。</w:t>
      </w:r>
      <w:r>
        <w:rPr>
          <w:rFonts w:hint="eastAsia"/>
        </w:rPr>
        <w:t>优化配置财政支出结构，补齐文化支出短板，统筹支持全县基本公共文化服务项目，改善基层公共文化体育设施建设，推动城乡文化一体化发展。加强文物项目建设，支持非物质文化遗产保护和优秀传统文化传承发展，突出文化品牌打造。</w:t>
      </w:r>
      <w:r>
        <w:rPr>
          <w:rStyle w:val="13"/>
          <w:rFonts w:hint="eastAsia" w:ascii="仿宋_GB2312" w:eastAsia="仿宋_GB2312"/>
        </w:rPr>
        <w:t>三</w:t>
      </w:r>
      <w:r>
        <w:rPr>
          <w:rStyle w:val="13"/>
          <w:rFonts w:ascii="仿宋_GB2312" w:eastAsia="仿宋_GB2312"/>
        </w:rPr>
        <w:t>是加大医疗卫生投入。</w:t>
      </w:r>
      <w:r>
        <w:t>落实好城乡居民基本医疗保险、医疗救助等财政政策，鼓励县级医院提升专业化水平，引导乡镇卫生院特色化、差异化发展，改善医疗卫生服务条件，提升医疗服务能力，解决群众看病难、看病贵的难题。</w:t>
      </w:r>
      <w:r>
        <w:rPr>
          <w:rStyle w:val="13"/>
          <w:rFonts w:hint="eastAsia" w:ascii="仿宋_GB2312" w:eastAsia="仿宋_GB2312"/>
        </w:rPr>
        <w:t>四</w:t>
      </w:r>
      <w:r>
        <w:rPr>
          <w:rStyle w:val="13"/>
          <w:rFonts w:ascii="仿宋_GB2312" w:eastAsia="仿宋_GB2312"/>
        </w:rPr>
        <w:t>是提高社会保障水平。</w:t>
      </w:r>
      <w:r>
        <w:t>确保新型农村养老保险、城乡低保、五保供养等资金支出，优化职工基本养老保险制度，深化机关事业单位养老保险制度改革，加快建立覆盖全民、统筹城乡的社会保障体系。</w:t>
      </w:r>
      <w:r>
        <w:rPr>
          <w:rStyle w:val="13"/>
          <w:rFonts w:hint="eastAsia" w:ascii="仿宋_GB2312" w:eastAsia="仿宋_GB2312"/>
        </w:rPr>
        <w:t>五是谋划推动项目建设。</w:t>
      </w:r>
      <w:r>
        <w:rPr>
          <w:rFonts w:hint="eastAsia"/>
        </w:rPr>
        <w:t>通过</w:t>
      </w:r>
      <w:r>
        <w:rPr>
          <w:rFonts w:ascii="Arial" w:hAnsi="Arial" w:cs="Arial"/>
          <w:color w:val="333333"/>
          <w:shd w:val="clear" w:color="auto" w:fill="FFFFFF"/>
        </w:rPr>
        <w:t>整合资源，</w:t>
      </w:r>
      <w:r>
        <w:rPr>
          <w:rFonts w:hint="eastAsia"/>
        </w:rPr>
        <w:t>盘活各领域“沉睡”的财政资金，化“零”为“整”，将这部分存量资金与预算安排和政府</w:t>
      </w:r>
      <w:r>
        <w:t>专项债券</w:t>
      </w:r>
      <w:r>
        <w:rPr>
          <w:rFonts w:hint="eastAsia"/>
        </w:rPr>
        <w:t>等财政资金统筹结合</w:t>
      </w:r>
      <w:r>
        <w:t>，</w:t>
      </w:r>
      <w:r>
        <w:rPr>
          <w:rFonts w:hint="eastAsia"/>
        </w:rPr>
        <w:t>用于急需的重点项目建设，</w:t>
      </w:r>
      <w:r>
        <w:t>坚持</w:t>
      </w:r>
      <w:r>
        <w:rPr>
          <w:rFonts w:hint="eastAsia"/>
        </w:rPr>
        <w:t>“</w:t>
      </w:r>
      <w:r>
        <w:t>资金跟着项目走</w:t>
      </w:r>
      <w:r>
        <w:rPr>
          <w:rFonts w:hint="eastAsia"/>
        </w:rPr>
        <w:t>”</w:t>
      </w:r>
      <w:r>
        <w:t>，加快重点项目支出进度，发挥财政资金使用效益。</w:t>
      </w:r>
    </w:p>
    <w:p>
      <w:pPr>
        <w:pStyle w:val="3"/>
        <w:keepNext w:val="0"/>
        <w:keepLines w:val="0"/>
        <w:overflowPunct w:val="0"/>
        <w:spacing w:line="600" w:lineRule="exact"/>
        <w:ind w:firstLine="643"/>
      </w:pPr>
      <w:r>
        <w:rPr>
          <w:rFonts w:hint="eastAsia" w:ascii="楷体_GB2312" w:hAnsi="楷体_GB2312" w:cs="楷体_GB2312"/>
        </w:rPr>
        <w:t>（五）强化监督，提高财政管理水平</w:t>
      </w:r>
    </w:p>
    <w:p>
      <w:pPr>
        <w:overflowPunct w:val="0"/>
        <w:spacing w:line="600" w:lineRule="exact"/>
        <w:ind w:firstLine="643"/>
      </w:pPr>
      <w:r>
        <w:rPr>
          <w:rStyle w:val="13"/>
          <w:rFonts w:hint="eastAsia" w:ascii="仿宋_GB2312" w:eastAsia="仿宋_GB2312"/>
        </w:rPr>
        <w:t>一是加强财政法治建设。</w:t>
      </w:r>
      <w:r>
        <w:t>全面加强对</w:t>
      </w:r>
      <w:r>
        <w:rPr>
          <w:rFonts w:hint="eastAsia"/>
        </w:rPr>
        <w:t>财政干部</w:t>
      </w:r>
      <w:r>
        <w:t>的继续教育培训，</w:t>
      </w:r>
      <w:r>
        <w:rPr>
          <w:rFonts w:hint="eastAsia"/>
        </w:rPr>
        <w:t>切实增强财政干部依法行政的意识，提高依法理财的能力。同时</w:t>
      </w:r>
      <w:r>
        <w:t>强化</w:t>
      </w:r>
      <w:r>
        <w:rPr>
          <w:rFonts w:hint="eastAsia"/>
        </w:rPr>
        <w:t>财政</w:t>
      </w:r>
      <w:r>
        <w:t>纪律约束，规范财政运行秩序，依法接受人大和政协监督。</w:t>
      </w:r>
      <w:r>
        <w:rPr>
          <w:rFonts w:hint="eastAsia"/>
          <w:b/>
        </w:rPr>
        <w:t>二是</w:t>
      </w:r>
      <w:r>
        <w:rPr>
          <w:rStyle w:val="13"/>
          <w:rFonts w:hint="eastAsia" w:ascii="仿宋_GB2312" w:eastAsia="仿宋_GB2312"/>
        </w:rPr>
        <w:t>规范</w:t>
      </w:r>
      <w:r>
        <w:rPr>
          <w:rStyle w:val="13"/>
          <w:rFonts w:ascii="仿宋_GB2312" w:eastAsia="仿宋_GB2312"/>
        </w:rPr>
        <w:t>国有资产管理。</w:t>
      </w:r>
      <w:r>
        <w:t>严格落实政府会计准则制度等要求，加强核算入账和登记管理，不断完善资产管理基础数据库，提升资产管理信息化水平。规范资产处置程序，盘活闲置国有资产，合理配置，切实提高资产使用效益。</w:t>
      </w:r>
      <w:r>
        <w:rPr>
          <w:rFonts w:hint="eastAsia"/>
          <w:b/>
        </w:rPr>
        <w:t>三是</w:t>
      </w:r>
      <w:r>
        <w:rPr>
          <w:rStyle w:val="13"/>
          <w:rFonts w:hint="eastAsia" w:ascii="仿宋_GB2312" w:eastAsia="仿宋_GB2312"/>
        </w:rPr>
        <w:t>完善</w:t>
      </w:r>
      <w:r>
        <w:rPr>
          <w:rStyle w:val="13"/>
          <w:rFonts w:ascii="仿宋_GB2312" w:eastAsia="仿宋_GB2312"/>
        </w:rPr>
        <w:t>内控制度建设。</w:t>
      </w:r>
      <w:r>
        <w:t>按照</w:t>
      </w:r>
      <w:r>
        <w:rPr>
          <w:rFonts w:hint="eastAsia"/>
        </w:rPr>
        <w:t>“</w:t>
      </w:r>
      <w:r>
        <w:t>同一业务统一规程</w:t>
      </w:r>
      <w:r>
        <w:rPr>
          <w:rFonts w:hint="eastAsia"/>
        </w:rPr>
        <w:t>”</w:t>
      </w:r>
      <w:r>
        <w:t>的原则，针对财政核心业务，制订完善全流程操作规程</w:t>
      </w:r>
      <w:r>
        <w:rPr>
          <w:rFonts w:hint="eastAsia"/>
        </w:rPr>
        <w:t>。</w:t>
      </w:r>
      <w:r>
        <w:t>充分发挥内部监督检查的职能作用，不定期地开展内控制度执行情况监督检查，促进单位内控管理水平提升。</w:t>
      </w:r>
      <w:r>
        <w:rPr>
          <w:rFonts w:hint="eastAsia"/>
          <w:b/>
        </w:rPr>
        <w:t>四是</w:t>
      </w:r>
      <w:r>
        <w:rPr>
          <w:rStyle w:val="13"/>
          <w:rFonts w:ascii="仿宋_GB2312" w:eastAsia="仿宋_GB2312"/>
        </w:rPr>
        <w:t>加快</w:t>
      </w:r>
      <w:r>
        <w:rPr>
          <w:rStyle w:val="13"/>
          <w:rFonts w:hint="eastAsia" w:ascii="仿宋_GB2312" w:eastAsia="仿宋_GB2312"/>
        </w:rPr>
        <w:t>推进</w:t>
      </w:r>
      <w:r>
        <w:rPr>
          <w:rStyle w:val="13"/>
          <w:rFonts w:ascii="仿宋_GB2312" w:eastAsia="仿宋_GB2312"/>
        </w:rPr>
        <w:t>预算管理一体化</w:t>
      </w:r>
      <w:r>
        <w:rPr>
          <w:rStyle w:val="13"/>
          <w:rFonts w:hint="eastAsia" w:ascii="仿宋_GB2312" w:eastAsia="仿宋_GB2312"/>
        </w:rPr>
        <w:t>走向深入</w:t>
      </w:r>
      <w:r>
        <w:rPr>
          <w:rStyle w:val="13"/>
          <w:rFonts w:ascii="仿宋_GB2312" w:eastAsia="仿宋_GB2312"/>
        </w:rPr>
        <w:t>。</w:t>
      </w:r>
      <w:r>
        <w:t>全面推进预算管理一体化系统建设，建成涵盖预算编制、预算执行、单位会计核算等核心业务的一体化系统，逐步与绩效管理、政府采购、资产管理等系统实现互联互通，打造</w:t>
      </w:r>
      <w:r>
        <w:rPr>
          <w:rFonts w:hint="eastAsia"/>
        </w:rPr>
        <w:t>“</w:t>
      </w:r>
      <w:r>
        <w:t>数字财政</w:t>
      </w:r>
      <w:r>
        <w:rPr>
          <w:rFonts w:hint="eastAsia"/>
        </w:rPr>
        <w:t>”</w:t>
      </w:r>
      <w:r>
        <w:t>，实现预算管理工作的科学化、标准化。</w:t>
      </w:r>
    </w:p>
    <w:p>
      <w:pPr>
        <w:overflowPunct w:val="0"/>
        <w:spacing w:line="600" w:lineRule="exact"/>
        <w:ind w:firstLine="643"/>
      </w:pPr>
      <w:r>
        <w:rPr>
          <w:rFonts w:ascii="仿宋_GB2312" w:hAnsi="仿宋_GB2312"/>
          <w:b/>
          <w:color w:val="000000"/>
          <w:kern w:val="0"/>
          <w:u w:color="000000"/>
        </w:rPr>
        <w:t>各位代表：</w:t>
      </w:r>
      <w:r>
        <w:t>做好</w:t>
      </w:r>
      <w:r>
        <w:rPr>
          <w:rFonts w:hint="eastAsia" w:ascii="仿宋_GB2312" w:hAnsi="仿宋_GB2312"/>
        </w:rPr>
        <w:t>2022</w:t>
      </w:r>
      <w:r>
        <w:t>年财政工作责任重大、任务艰巨。让我们以习近平新时代中国特色社会主义思想为指引，在县委、县政府的坚强领导下，发扬伟大</w:t>
      </w:r>
      <w:r>
        <w:rPr>
          <w:rFonts w:hint="eastAsia"/>
        </w:rPr>
        <w:t>建党</w:t>
      </w:r>
      <w:r>
        <w:t>精神，</w:t>
      </w:r>
      <w:r>
        <w:rPr>
          <w:rFonts w:hint="eastAsia"/>
        </w:rPr>
        <w:t>巩固“争先、进位、崛起”解放思想大讨论成果，坚定争先进位、振兴崛起的信心决心，以“百柯争流，奋楫者先”的精神，</w:t>
      </w:r>
      <w:r>
        <w:t>扎实做好各项财政工作，</w:t>
      </w:r>
      <w:r>
        <w:rPr>
          <w:rFonts w:hint="eastAsia"/>
        </w:rPr>
        <w:t>不断开创</w:t>
      </w:r>
      <w:r>
        <w:t>我县高质量跨越式发展</w:t>
      </w:r>
      <w:r>
        <w:rPr>
          <w:rFonts w:hint="eastAsia"/>
        </w:rPr>
        <w:t>新局面，以优异成绩迎接党的二十大胜利召开</w:t>
      </w:r>
      <w:r>
        <w:t>！</w:t>
      </w:r>
    </w:p>
    <w:sectPr>
      <w:headerReference r:id="rId5" w:type="first"/>
      <w:footerReference r:id="rId8" w:type="first"/>
      <w:headerReference r:id="rId3" w:type="default"/>
      <w:footerReference r:id="rId6" w:type="default"/>
      <w:headerReference r:id="rId4" w:type="even"/>
      <w:footerReference r:id="rId7" w:type="even"/>
      <w:pgSz w:w="11906" w:h="16838"/>
      <w:pgMar w:top="1871" w:right="1474" w:bottom="1701" w:left="1474" w:header="851" w:footer="1020" w:gutter="0"/>
      <w:pgNumType w:fmt="numberInDash"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方正行楷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98624"/>
    </w:sdtPr>
    <w:sdtEndPr>
      <w:rPr>
        <w:rFonts w:asciiTheme="minorEastAsia" w:hAnsiTheme="minorEastAsia" w:eastAsiaTheme="minorEastAsia"/>
        <w:sz w:val="28"/>
        <w:szCs w:val="28"/>
      </w:rPr>
    </w:sdtEndPr>
    <w:sdtContent>
      <w:p>
        <w:pPr>
          <w:pStyle w:val="7"/>
          <w:ind w:firstLine="36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15 -</w:t>
        </w:r>
        <w:r>
          <w:rPr>
            <w:rFonts w:asciiTheme="minorEastAsia" w:hAnsiTheme="minorEastAsia" w:eastAsiaTheme="minorEastAsia"/>
            <w:sz w:val="28"/>
            <w:szCs w:val="28"/>
          </w:rPr>
          <w:fldChar w:fldCharType="end"/>
        </w:r>
      </w:p>
    </w:sdtContent>
  </w:sdt>
  <w:p>
    <w:pPr>
      <w:pStyle w:val="7"/>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98627"/>
    </w:sdtPr>
    <w:sdtEndPr>
      <w:rPr>
        <w:rFonts w:asciiTheme="minorEastAsia" w:hAnsiTheme="minorEastAsia" w:eastAsiaTheme="minorEastAsia"/>
        <w:sz w:val="28"/>
        <w:szCs w:val="28"/>
      </w:rPr>
    </w:sdtEndPr>
    <w:sdtContent>
      <w:p>
        <w:pPr>
          <w:pStyle w:val="7"/>
          <w:ind w:firstLine="0" w:firstLineChars="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16 -</w:t>
        </w:r>
        <w:r>
          <w:rPr>
            <w:rFonts w:asciiTheme="minorEastAsia" w:hAnsiTheme="minorEastAsia" w:eastAsiaTheme="minorEastAsia"/>
            <w:sz w:val="28"/>
            <w:szCs w:val="28"/>
          </w:rPr>
          <w:fldChar w:fldCharType="end"/>
        </w:r>
      </w:p>
    </w:sdtContent>
  </w:sdt>
  <w:p>
    <w:pPr>
      <w:pStyle w:val="7"/>
      <w:ind w:firstLine="0" w:firstLineChars="0"/>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974B6"/>
    <w:multiLevelType w:val="singleLevel"/>
    <w:tmpl w:val="802974B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evenAndOddHeaders w:val="1"/>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27328"/>
    <w:rsid w:val="00000C3D"/>
    <w:rsid w:val="000218EA"/>
    <w:rsid w:val="00066EA4"/>
    <w:rsid w:val="000A7C31"/>
    <w:rsid w:val="000C0B58"/>
    <w:rsid w:val="000D4194"/>
    <w:rsid w:val="000D463F"/>
    <w:rsid w:val="000D7AD0"/>
    <w:rsid w:val="000F34B2"/>
    <w:rsid w:val="0010000C"/>
    <w:rsid w:val="00106A47"/>
    <w:rsid w:val="00112942"/>
    <w:rsid w:val="001302BD"/>
    <w:rsid w:val="00160A9C"/>
    <w:rsid w:val="0019470C"/>
    <w:rsid w:val="001B7FC1"/>
    <w:rsid w:val="001C788C"/>
    <w:rsid w:val="001D2DD1"/>
    <w:rsid w:val="001E649A"/>
    <w:rsid w:val="001F58D4"/>
    <w:rsid w:val="002039B3"/>
    <w:rsid w:val="00213389"/>
    <w:rsid w:val="0023531A"/>
    <w:rsid w:val="0027258E"/>
    <w:rsid w:val="0027550D"/>
    <w:rsid w:val="002C5ADB"/>
    <w:rsid w:val="002D4222"/>
    <w:rsid w:val="002E7752"/>
    <w:rsid w:val="002F58D3"/>
    <w:rsid w:val="00321FB4"/>
    <w:rsid w:val="00322147"/>
    <w:rsid w:val="003551C8"/>
    <w:rsid w:val="00386A3C"/>
    <w:rsid w:val="003A4FD0"/>
    <w:rsid w:val="003F4044"/>
    <w:rsid w:val="003F52E1"/>
    <w:rsid w:val="004316F0"/>
    <w:rsid w:val="00475590"/>
    <w:rsid w:val="0047699A"/>
    <w:rsid w:val="004951DD"/>
    <w:rsid w:val="004C08E9"/>
    <w:rsid w:val="004C3679"/>
    <w:rsid w:val="004F6932"/>
    <w:rsid w:val="00520F78"/>
    <w:rsid w:val="00525D10"/>
    <w:rsid w:val="00536FA8"/>
    <w:rsid w:val="00556037"/>
    <w:rsid w:val="00581F35"/>
    <w:rsid w:val="00590BA0"/>
    <w:rsid w:val="00596DF5"/>
    <w:rsid w:val="005C3B07"/>
    <w:rsid w:val="005C782B"/>
    <w:rsid w:val="005C7BCE"/>
    <w:rsid w:val="005E6680"/>
    <w:rsid w:val="005F3F82"/>
    <w:rsid w:val="005F6778"/>
    <w:rsid w:val="00600EA9"/>
    <w:rsid w:val="00634D25"/>
    <w:rsid w:val="00645CAD"/>
    <w:rsid w:val="00646E77"/>
    <w:rsid w:val="00650589"/>
    <w:rsid w:val="00687AB4"/>
    <w:rsid w:val="00727BF6"/>
    <w:rsid w:val="00730753"/>
    <w:rsid w:val="00731766"/>
    <w:rsid w:val="00740469"/>
    <w:rsid w:val="00743F69"/>
    <w:rsid w:val="00761876"/>
    <w:rsid w:val="00781309"/>
    <w:rsid w:val="007960D6"/>
    <w:rsid w:val="007A72CF"/>
    <w:rsid w:val="007C0040"/>
    <w:rsid w:val="007D6430"/>
    <w:rsid w:val="00807BB8"/>
    <w:rsid w:val="0083032C"/>
    <w:rsid w:val="0084004B"/>
    <w:rsid w:val="00844FC6"/>
    <w:rsid w:val="0085109C"/>
    <w:rsid w:val="00853972"/>
    <w:rsid w:val="008805F0"/>
    <w:rsid w:val="00885757"/>
    <w:rsid w:val="00894769"/>
    <w:rsid w:val="008A70E8"/>
    <w:rsid w:val="008B133E"/>
    <w:rsid w:val="008C1CB7"/>
    <w:rsid w:val="008C5AA1"/>
    <w:rsid w:val="008F7465"/>
    <w:rsid w:val="00906305"/>
    <w:rsid w:val="00951038"/>
    <w:rsid w:val="00954B61"/>
    <w:rsid w:val="009722C8"/>
    <w:rsid w:val="009A36B9"/>
    <w:rsid w:val="009F764E"/>
    <w:rsid w:val="00A36129"/>
    <w:rsid w:val="00A60D7C"/>
    <w:rsid w:val="00A85764"/>
    <w:rsid w:val="00A93DCC"/>
    <w:rsid w:val="00AB6763"/>
    <w:rsid w:val="00AD71D4"/>
    <w:rsid w:val="00AE0560"/>
    <w:rsid w:val="00B064E1"/>
    <w:rsid w:val="00B5254C"/>
    <w:rsid w:val="00B96C34"/>
    <w:rsid w:val="00BB7F27"/>
    <w:rsid w:val="00BC639C"/>
    <w:rsid w:val="00BD0F4C"/>
    <w:rsid w:val="00BD3034"/>
    <w:rsid w:val="00BE5D42"/>
    <w:rsid w:val="00C04B38"/>
    <w:rsid w:val="00C07599"/>
    <w:rsid w:val="00C14EDB"/>
    <w:rsid w:val="00C23712"/>
    <w:rsid w:val="00C31803"/>
    <w:rsid w:val="00C40BCC"/>
    <w:rsid w:val="00C7302A"/>
    <w:rsid w:val="00C916DC"/>
    <w:rsid w:val="00C96C08"/>
    <w:rsid w:val="00D029C3"/>
    <w:rsid w:val="00D043FC"/>
    <w:rsid w:val="00D250D1"/>
    <w:rsid w:val="00D343BC"/>
    <w:rsid w:val="00D35A18"/>
    <w:rsid w:val="00D40BDF"/>
    <w:rsid w:val="00D42240"/>
    <w:rsid w:val="00D72CD9"/>
    <w:rsid w:val="00D775EE"/>
    <w:rsid w:val="00DC642F"/>
    <w:rsid w:val="00DD2513"/>
    <w:rsid w:val="00E040EE"/>
    <w:rsid w:val="00E1728E"/>
    <w:rsid w:val="00E30F89"/>
    <w:rsid w:val="00E36EFC"/>
    <w:rsid w:val="00E45615"/>
    <w:rsid w:val="00E50D40"/>
    <w:rsid w:val="00E51EE2"/>
    <w:rsid w:val="00EA5013"/>
    <w:rsid w:val="00EA7D4D"/>
    <w:rsid w:val="00ED524B"/>
    <w:rsid w:val="00EE6D63"/>
    <w:rsid w:val="00F0487C"/>
    <w:rsid w:val="00F072EA"/>
    <w:rsid w:val="00F21332"/>
    <w:rsid w:val="00F230A2"/>
    <w:rsid w:val="00F241C5"/>
    <w:rsid w:val="00F27328"/>
    <w:rsid w:val="00F2736A"/>
    <w:rsid w:val="00F534F0"/>
    <w:rsid w:val="00F82468"/>
    <w:rsid w:val="00FB6E31"/>
    <w:rsid w:val="00FD024A"/>
    <w:rsid w:val="00FD5B58"/>
    <w:rsid w:val="00FF1374"/>
    <w:rsid w:val="013939C0"/>
    <w:rsid w:val="017303D9"/>
    <w:rsid w:val="028A1BA1"/>
    <w:rsid w:val="049047F9"/>
    <w:rsid w:val="05D60207"/>
    <w:rsid w:val="068C0636"/>
    <w:rsid w:val="076C5C55"/>
    <w:rsid w:val="07C66F31"/>
    <w:rsid w:val="095E42BE"/>
    <w:rsid w:val="0A1913E8"/>
    <w:rsid w:val="0B145F6D"/>
    <w:rsid w:val="0B4713DE"/>
    <w:rsid w:val="0B5104DA"/>
    <w:rsid w:val="0B6134EC"/>
    <w:rsid w:val="0B6F35B9"/>
    <w:rsid w:val="0C0C5D6B"/>
    <w:rsid w:val="0C1E47AF"/>
    <w:rsid w:val="0C526E6F"/>
    <w:rsid w:val="0C760F26"/>
    <w:rsid w:val="0C9E3AB7"/>
    <w:rsid w:val="0F483C2C"/>
    <w:rsid w:val="0FA73D06"/>
    <w:rsid w:val="0FFC339B"/>
    <w:rsid w:val="10A33B95"/>
    <w:rsid w:val="112F620A"/>
    <w:rsid w:val="11564B24"/>
    <w:rsid w:val="124F0EBB"/>
    <w:rsid w:val="12D648A5"/>
    <w:rsid w:val="13B31B4A"/>
    <w:rsid w:val="14B15E68"/>
    <w:rsid w:val="14D937ED"/>
    <w:rsid w:val="154043B5"/>
    <w:rsid w:val="155316B7"/>
    <w:rsid w:val="16232FBF"/>
    <w:rsid w:val="16FD0ACF"/>
    <w:rsid w:val="1782328A"/>
    <w:rsid w:val="17D74368"/>
    <w:rsid w:val="17D86D86"/>
    <w:rsid w:val="190C61FE"/>
    <w:rsid w:val="19537040"/>
    <w:rsid w:val="195B1605"/>
    <w:rsid w:val="197D3AEF"/>
    <w:rsid w:val="19E27BFB"/>
    <w:rsid w:val="1A524D2C"/>
    <w:rsid w:val="1A682B87"/>
    <w:rsid w:val="1B2D12F3"/>
    <w:rsid w:val="1C100646"/>
    <w:rsid w:val="1CC31533"/>
    <w:rsid w:val="1D662630"/>
    <w:rsid w:val="1EA230A1"/>
    <w:rsid w:val="1F1A046D"/>
    <w:rsid w:val="1FBB0067"/>
    <w:rsid w:val="20AA7070"/>
    <w:rsid w:val="20DD51C9"/>
    <w:rsid w:val="212B40FB"/>
    <w:rsid w:val="21451D01"/>
    <w:rsid w:val="23434793"/>
    <w:rsid w:val="235511B2"/>
    <w:rsid w:val="239A6692"/>
    <w:rsid w:val="24B34D09"/>
    <w:rsid w:val="24FF2E96"/>
    <w:rsid w:val="25A04D7E"/>
    <w:rsid w:val="265401E5"/>
    <w:rsid w:val="27DB161E"/>
    <w:rsid w:val="289A1CD2"/>
    <w:rsid w:val="2907481D"/>
    <w:rsid w:val="29B63F16"/>
    <w:rsid w:val="2A3F6D5D"/>
    <w:rsid w:val="2B2C3DB0"/>
    <w:rsid w:val="2C095E34"/>
    <w:rsid w:val="2CBF337F"/>
    <w:rsid w:val="2D7B73F3"/>
    <w:rsid w:val="2D9042F7"/>
    <w:rsid w:val="2E586022"/>
    <w:rsid w:val="2EA17E00"/>
    <w:rsid w:val="2EDB4110"/>
    <w:rsid w:val="2F830BDB"/>
    <w:rsid w:val="2FA44211"/>
    <w:rsid w:val="31462D0D"/>
    <w:rsid w:val="317B251A"/>
    <w:rsid w:val="31B1111F"/>
    <w:rsid w:val="323D4BA4"/>
    <w:rsid w:val="325348DE"/>
    <w:rsid w:val="333723D2"/>
    <w:rsid w:val="33BA5937"/>
    <w:rsid w:val="33E43B81"/>
    <w:rsid w:val="344C4EEC"/>
    <w:rsid w:val="34F83729"/>
    <w:rsid w:val="35100275"/>
    <w:rsid w:val="351A3281"/>
    <w:rsid w:val="366D2173"/>
    <w:rsid w:val="368B4F1C"/>
    <w:rsid w:val="37983D52"/>
    <w:rsid w:val="381B35C0"/>
    <w:rsid w:val="38AB430C"/>
    <w:rsid w:val="39C24136"/>
    <w:rsid w:val="3A1F199F"/>
    <w:rsid w:val="3C062485"/>
    <w:rsid w:val="3D733273"/>
    <w:rsid w:val="3DB10AB8"/>
    <w:rsid w:val="3DDB3734"/>
    <w:rsid w:val="3E684467"/>
    <w:rsid w:val="3F271DEB"/>
    <w:rsid w:val="40F2068A"/>
    <w:rsid w:val="40FB7745"/>
    <w:rsid w:val="41656898"/>
    <w:rsid w:val="41FF55AE"/>
    <w:rsid w:val="42F337E9"/>
    <w:rsid w:val="43AF0822"/>
    <w:rsid w:val="43F51A1D"/>
    <w:rsid w:val="44884CA1"/>
    <w:rsid w:val="45A53CB1"/>
    <w:rsid w:val="465C2BF8"/>
    <w:rsid w:val="469A68CA"/>
    <w:rsid w:val="472975C4"/>
    <w:rsid w:val="48075A01"/>
    <w:rsid w:val="48A1211E"/>
    <w:rsid w:val="49775204"/>
    <w:rsid w:val="499F1E7C"/>
    <w:rsid w:val="49ED074C"/>
    <w:rsid w:val="4A5E5D08"/>
    <w:rsid w:val="4AEC05BD"/>
    <w:rsid w:val="4BEA11C0"/>
    <w:rsid w:val="4C8241DB"/>
    <w:rsid w:val="4C9E631E"/>
    <w:rsid w:val="4D472C8C"/>
    <w:rsid w:val="4F164946"/>
    <w:rsid w:val="4FFD19CE"/>
    <w:rsid w:val="5066262C"/>
    <w:rsid w:val="51051D66"/>
    <w:rsid w:val="51141F2B"/>
    <w:rsid w:val="515A5C50"/>
    <w:rsid w:val="518A6B82"/>
    <w:rsid w:val="52192149"/>
    <w:rsid w:val="522C7A33"/>
    <w:rsid w:val="52AB0D60"/>
    <w:rsid w:val="53180D5F"/>
    <w:rsid w:val="53E21657"/>
    <w:rsid w:val="5498503D"/>
    <w:rsid w:val="54FD7217"/>
    <w:rsid w:val="55F5285E"/>
    <w:rsid w:val="568A17DC"/>
    <w:rsid w:val="56913ADD"/>
    <w:rsid w:val="56BE2DBB"/>
    <w:rsid w:val="57554186"/>
    <w:rsid w:val="57567B61"/>
    <w:rsid w:val="577478CA"/>
    <w:rsid w:val="57C4749B"/>
    <w:rsid w:val="58D712E5"/>
    <w:rsid w:val="58E450CB"/>
    <w:rsid w:val="5B9A184E"/>
    <w:rsid w:val="5C730A94"/>
    <w:rsid w:val="5CBA5033"/>
    <w:rsid w:val="5D1F7757"/>
    <w:rsid w:val="5DEE6CB9"/>
    <w:rsid w:val="5E5752F5"/>
    <w:rsid w:val="60216E26"/>
    <w:rsid w:val="61D63469"/>
    <w:rsid w:val="62AE10BC"/>
    <w:rsid w:val="63041F34"/>
    <w:rsid w:val="63131042"/>
    <w:rsid w:val="63506C43"/>
    <w:rsid w:val="63BD5B63"/>
    <w:rsid w:val="643B71EE"/>
    <w:rsid w:val="645F0C80"/>
    <w:rsid w:val="646E3448"/>
    <w:rsid w:val="662F116B"/>
    <w:rsid w:val="66EB7147"/>
    <w:rsid w:val="686A1362"/>
    <w:rsid w:val="69A27DD9"/>
    <w:rsid w:val="69F77F3A"/>
    <w:rsid w:val="6A1C4B42"/>
    <w:rsid w:val="6A4A07BE"/>
    <w:rsid w:val="6A8569A9"/>
    <w:rsid w:val="6BB21319"/>
    <w:rsid w:val="6C0E4EE8"/>
    <w:rsid w:val="6C287D05"/>
    <w:rsid w:val="6CBC65C6"/>
    <w:rsid w:val="6D7A14E4"/>
    <w:rsid w:val="6F4F4AAA"/>
    <w:rsid w:val="704E5BBD"/>
    <w:rsid w:val="70673C73"/>
    <w:rsid w:val="70D642D4"/>
    <w:rsid w:val="72117370"/>
    <w:rsid w:val="72C830E4"/>
    <w:rsid w:val="73217E87"/>
    <w:rsid w:val="73E278E0"/>
    <w:rsid w:val="74E14D41"/>
    <w:rsid w:val="74F933DF"/>
    <w:rsid w:val="754C062E"/>
    <w:rsid w:val="754D3DEE"/>
    <w:rsid w:val="78122107"/>
    <w:rsid w:val="788510DB"/>
    <w:rsid w:val="79B27D1F"/>
    <w:rsid w:val="79C61C49"/>
    <w:rsid w:val="7A062550"/>
    <w:rsid w:val="7AB83901"/>
    <w:rsid w:val="7B987942"/>
    <w:rsid w:val="7BE6624C"/>
    <w:rsid w:val="7C050BD2"/>
    <w:rsid w:val="7C4043E3"/>
    <w:rsid w:val="7D4B4E66"/>
    <w:rsid w:val="7EC23CCE"/>
    <w:rsid w:val="7F001B69"/>
    <w:rsid w:val="7FC36A12"/>
    <w:rsid w:val="7FD652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420" w:firstLineChars="200"/>
      <w:jc w:val="both"/>
    </w:pPr>
    <w:rPr>
      <w:rFonts w:eastAsia="仿宋_GB2312" w:cs="仿宋_GB2312" w:asciiTheme="minorHAnsi" w:hAnsiTheme="minorHAnsi"/>
      <w:kern w:val="2"/>
      <w:sz w:val="32"/>
      <w:szCs w:val="32"/>
      <w:lang w:val="en-US" w:eastAsia="zh-CN" w:bidi="ar-SA"/>
    </w:rPr>
  </w:style>
  <w:style w:type="paragraph" w:styleId="2">
    <w:name w:val="heading 1"/>
    <w:basedOn w:val="1"/>
    <w:next w:val="1"/>
    <w:link w:val="11"/>
    <w:qFormat/>
    <w:uiPriority w:val="0"/>
    <w:pPr>
      <w:keepNext/>
      <w:keepLines/>
      <w:outlineLvl w:val="0"/>
    </w:pPr>
    <w:rPr>
      <w:rFonts w:eastAsia="黑体"/>
      <w:kern w:val="44"/>
    </w:rPr>
  </w:style>
  <w:style w:type="paragraph" w:styleId="3">
    <w:name w:val="heading 2"/>
    <w:basedOn w:val="1"/>
    <w:next w:val="1"/>
    <w:link w:val="12"/>
    <w:unhideWhenUsed/>
    <w:qFormat/>
    <w:uiPriority w:val="0"/>
    <w:pPr>
      <w:keepNext/>
      <w:keepLines/>
      <w:outlineLvl w:val="1"/>
    </w:pPr>
    <w:rPr>
      <w:rFonts w:ascii="Arial" w:hAnsi="Arial" w:eastAsia="楷体_GB2312"/>
      <w:b/>
    </w:rPr>
  </w:style>
  <w:style w:type="paragraph" w:styleId="4">
    <w:name w:val="heading 3"/>
    <w:basedOn w:val="1"/>
    <w:next w:val="1"/>
    <w:link w:val="13"/>
    <w:unhideWhenUsed/>
    <w:qFormat/>
    <w:uiPriority w:val="0"/>
    <w:pPr>
      <w:keepNext/>
      <w:keepLines/>
      <w:outlineLvl w:val="2"/>
    </w:pPr>
    <w:rPr>
      <w:rFonts w:eastAsia="仿宋"/>
      <w:b/>
    </w:rPr>
  </w:style>
  <w:style w:type="paragraph" w:styleId="5">
    <w:name w:val="heading 4"/>
    <w:basedOn w:val="1"/>
    <w:next w:val="1"/>
    <w:unhideWhenUsed/>
    <w:qFormat/>
    <w:uiPriority w:val="0"/>
    <w:pPr>
      <w:keepNext/>
      <w:keepLines/>
      <w:ind w:firstLine="0" w:firstLineChars="0"/>
      <w:jc w:val="center"/>
      <w:outlineLvl w:val="3"/>
    </w:pPr>
    <w:rPr>
      <w:rFonts w:ascii="Arial" w:hAnsi="Arial" w:eastAsia="方正小标宋简体"/>
      <w:sz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4"/>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1">
    <w:name w:val="标题 1 Char"/>
    <w:link w:val="2"/>
    <w:qFormat/>
    <w:uiPriority w:val="0"/>
    <w:rPr>
      <w:rFonts w:eastAsia="黑体"/>
      <w:kern w:val="44"/>
    </w:rPr>
  </w:style>
  <w:style w:type="character" w:customStyle="1" w:styleId="12">
    <w:name w:val="标题 2 Char"/>
    <w:link w:val="3"/>
    <w:qFormat/>
    <w:uiPriority w:val="0"/>
    <w:rPr>
      <w:rFonts w:ascii="Arial" w:hAnsi="Arial" w:eastAsia="楷体_GB2312"/>
      <w:b/>
    </w:rPr>
  </w:style>
  <w:style w:type="character" w:customStyle="1" w:styleId="13">
    <w:name w:val="标题 3 Char"/>
    <w:link w:val="4"/>
    <w:qFormat/>
    <w:uiPriority w:val="0"/>
    <w:rPr>
      <w:rFonts w:eastAsia="仿宋"/>
      <w:b/>
    </w:rPr>
  </w:style>
  <w:style w:type="character" w:customStyle="1" w:styleId="14">
    <w:name w:val="批注框文本 Char"/>
    <w:basedOn w:val="10"/>
    <w:link w:val="6"/>
    <w:qFormat/>
    <w:uiPriority w:val="0"/>
    <w:rPr>
      <w:rFonts w:eastAsia="仿宋_GB2312" w:cs="仿宋_GB2312" w:asciiTheme="minorHAnsi" w:hAnsiTheme="minorHAnsi"/>
      <w:kern w:val="2"/>
      <w:sz w:val="18"/>
      <w:szCs w:val="18"/>
    </w:rPr>
  </w:style>
  <w:style w:type="character" w:customStyle="1" w:styleId="15">
    <w:name w:val="页脚 Char"/>
    <w:basedOn w:val="10"/>
    <w:link w:val="7"/>
    <w:qFormat/>
    <w:uiPriority w:val="99"/>
    <w:rPr>
      <w:rFonts w:eastAsia="仿宋_GB2312" w:cs="仿宋_GB2312" w:asciiTheme="minorHAnsi" w:hAnsiTheme="minorHAnsi"/>
      <w:kern w:val="2"/>
      <w:sz w:val="18"/>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16</Pages>
  <Words>1377</Words>
  <Characters>7852</Characters>
  <Lines>65</Lines>
  <Paragraphs>18</Paragraphs>
  <TotalTime>170</TotalTime>
  <ScaleCrop>false</ScaleCrop>
  <LinksUpToDate>false</LinksUpToDate>
  <CharactersWithSpaces>9211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2022-01-19T09:12:00Z</dcterms:created>
  <dc:creator>Administrator</dc:creator>
  <cp:lastModifiedBy>常志峰</cp:lastModifiedBy>
  <cp:lastPrinted>2022-01-19T09:28:00Z</cp:lastPrinted>
  <dcterms:modified xsi:type="dcterms:W3CDTF">2022-01-21T11:25:09Z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y fmtid="{D5CDD505-2E9C-101B-9397-08002B2CF9AE}" pid="3" name="ICV">
    <vt:lpwstr>24E5D62E4552475E99F4D29B45639EE4</vt:lpwstr>
  </property>
</Properties>
</file>