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日常经费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曲沃县城镇集体工业联合社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曲沃县城镇集体工业联合社-201003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  <w:jc w:val="center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rFonts w:hint="eastAsia" w:ascii="仿宋_GB2312" w:hAnsi="Times New Roman" w:cs="Times New Roman"/>
          <w:kern w:val="0"/>
          <w:sz w:val="32"/>
          <w:szCs w:val="32"/>
          <w:lang w:eastAsia="zh-CN"/>
        </w:rPr>
        <w:t>目录</w:t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本预算为单位日常开展相关工作需要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城联主任办公会议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t>确保单位各项工作正常运转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确保单位各项工作正常运转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2021年全年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保证全年工作运转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圆满完成各项任务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日常经费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96.51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正常工作时间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365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280天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工作完成率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完成及时性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成本总控制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保障机关正常运转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有效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跟踪保障机制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员工满意度（%）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</w:rPr>
        <w:t>预算应有科学性、前瞻性，严格按预算批复执行</w:t>
      </w:r>
    </w:p>
    <w:p>
      <w:pPr>
        <w:pStyle w:val="44"/>
        <w:ind w:left="700" w:leftChars="250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</w:rPr>
        <w:t>保障了单位日常办公经费、水电费、差旅费等正常支出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</w:rPr>
        <w:t>保障了单位日常办公经费、水电费、差旅费等正常支出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</w:rPr>
        <w:t>保障了单位日常办公经费、水电费、差旅费等正常支出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遵守财经纪律，勤俭节约，保障单位正常运转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</w:pPr>
      <w:r>
        <w:rPr>
          <w:rFonts w:hint="eastAsia"/>
        </w:rPr>
        <w:t>有不可预见费用未列入预算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848" w:firstLineChars="303"/>
      </w:pPr>
    </w:p>
    <w:p>
      <w:pPr>
        <w:pStyle w:val="44"/>
        <w:ind w:firstLine="560"/>
        <w:rPr>
          <w:rFonts w:hint="eastAsia" w:eastAsia="仿宋_GB2312"/>
          <w:lang w:eastAsia="zh-CN"/>
        </w:rPr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需制定项目实施相应的管理制度，使项目能严格按制度执行</w:t>
      </w:r>
      <w:r>
        <w:rPr>
          <w:rFonts w:hint="eastAsia"/>
          <w:lang w:eastAsia="zh-CN"/>
        </w:rPr>
        <w:t>，严格执行财经纪律和项目资金管理办法，加强自身队伍建设，做好日常工作，提高项目资金使用效率。</w:t>
      </w:r>
      <w:bookmarkStart w:id="17" w:name="_GoBack"/>
      <w:bookmarkEnd w:id="17"/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正常工作时间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365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280天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76.71%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11.51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按实际工作天数计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工作完成率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完成及时性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成本总控制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保障机关正常运转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有效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跟踪保障机制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员工满意度（%）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5F5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dcterms:modified xsi:type="dcterms:W3CDTF">2022-03-14T07:34:26Z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