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440" w:firstLineChars="100"/>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曲沃县工业和信息化局2021年度</w:t>
      </w:r>
    </w:p>
    <w:p>
      <w:pPr>
        <w:ind w:firstLine="440" w:firstLineChars="1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单位整体绩效评价报告</w:t>
      </w:r>
    </w:p>
    <w:p>
      <w:pPr>
        <w:ind w:firstLine="3960" w:firstLineChars="90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ind w:firstLine="2640" w:firstLineChars="600"/>
        <w:rPr>
          <w:rFonts w:hint="eastAsia" w:ascii="黑体" w:hAnsi="黑体" w:eastAsia="黑体" w:cs="黑体"/>
          <w:sz w:val="44"/>
          <w:szCs w:val="44"/>
          <w:lang w:val="en-US" w:eastAsia="zh-CN"/>
        </w:rPr>
      </w:pP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一、单位基本情况</w:t>
      </w:r>
    </w:p>
    <w:p>
      <w:pPr>
        <w:numPr>
          <w:ilvl w:val="0"/>
          <w:numId w:val="1"/>
        </w:numPr>
        <w:rPr>
          <w:rFonts w:hint="eastAsia" w:ascii="仿宋_GB2312" w:hAnsi="仿宋" w:eastAsia="仿宋_GB2312"/>
          <w:sz w:val="32"/>
          <w:szCs w:val="32"/>
        </w:rPr>
      </w:pPr>
      <w:r>
        <w:rPr>
          <w:rFonts w:hint="eastAsia" w:ascii="仿宋" w:hAnsi="仿宋" w:eastAsia="仿宋" w:cs="仿宋"/>
          <w:sz w:val="32"/>
          <w:szCs w:val="32"/>
          <w:lang w:val="en-US" w:eastAsia="zh-CN"/>
        </w:rPr>
        <w:t>单位概况</w:t>
      </w:r>
    </w:p>
    <w:p>
      <w:pPr>
        <w:numPr>
          <w:ilvl w:val="0"/>
          <w:numId w:val="0"/>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曲沃县工业和信息化局是政府县域工业的宏观管理和综合调控部门，主要职责是统筹、协调、规划、指导县域工业经济。下设</w:t>
      </w:r>
      <w:r>
        <w:rPr>
          <w:rFonts w:hint="eastAsia" w:ascii="仿宋_GB2312" w:hAnsi="仿宋" w:eastAsia="仿宋_GB2312"/>
          <w:sz w:val="32"/>
          <w:szCs w:val="32"/>
          <w:lang w:val="en-US" w:eastAsia="zh-CN"/>
        </w:rPr>
        <w:t>一个</w:t>
      </w:r>
      <w:r>
        <w:rPr>
          <w:rFonts w:hint="eastAsia" w:ascii="仿宋_GB2312" w:hAnsi="仿宋" w:eastAsia="仿宋_GB2312"/>
          <w:sz w:val="32"/>
          <w:szCs w:val="32"/>
        </w:rPr>
        <w:t>副科级单位（</w:t>
      </w:r>
      <w:r>
        <w:rPr>
          <w:rFonts w:hint="eastAsia" w:ascii="仿宋_GB2312" w:hAnsi="仿宋" w:eastAsia="仿宋_GB2312"/>
          <w:sz w:val="32"/>
          <w:szCs w:val="32"/>
          <w:lang w:val="en-US" w:eastAsia="zh-CN"/>
        </w:rPr>
        <w:t>曲沃县大数据产业发展中心</w:t>
      </w:r>
      <w:r>
        <w:rPr>
          <w:rFonts w:hint="eastAsia" w:ascii="仿宋_GB2312" w:hAnsi="仿宋" w:eastAsia="仿宋_GB2312"/>
          <w:sz w:val="32"/>
          <w:szCs w:val="32"/>
        </w:rPr>
        <w:t>）和一个股级单位（曲沃县</w:t>
      </w:r>
      <w:r>
        <w:rPr>
          <w:rFonts w:hint="eastAsia" w:ascii="仿宋_GB2312" w:hAnsi="仿宋" w:eastAsia="仿宋_GB2312"/>
          <w:sz w:val="32"/>
          <w:szCs w:val="32"/>
          <w:lang w:val="en-US" w:eastAsia="zh-CN"/>
        </w:rPr>
        <w:t>国有资产服务中心</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按照“三定方案”，</w:t>
      </w:r>
      <w:r>
        <w:rPr>
          <w:rFonts w:hint="eastAsia" w:ascii="仿宋_GB2312" w:hAnsi="仿宋" w:eastAsia="仿宋_GB2312"/>
          <w:sz w:val="32"/>
          <w:szCs w:val="32"/>
          <w:lang w:val="en-US" w:eastAsia="zh-CN"/>
        </w:rPr>
        <w:t>工</w:t>
      </w:r>
      <w:r>
        <w:rPr>
          <w:rFonts w:hint="eastAsia" w:ascii="仿宋_GB2312" w:hAnsi="仿宋" w:eastAsia="仿宋_GB2312"/>
          <w:sz w:val="32"/>
          <w:szCs w:val="32"/>
        </w:rPr>
        <w:t>信局内设</w:t>
      </w:r>
      <w:r>
        <w:rPr>
          <w:rFonts w:hint="eastAsia" w:ascii="仿宋_GB2312" w:hAnsi="仿宋" w:eastAsia="仿宋_GB2312"/>
          <w:sz w:val="32"/>
          <w:szCs w:val="32"/>
          <w:lang w:val="en-US" w:eastAsia="zh-CN"/>
        </w:rPr>
        <w:t>七</w:t>
      </w:r>
      <w:r>
        <w:rPr>
          <w:rFonts w:hint="eastAsia" w:ascii="仿宋_GB2312" w:hAnsi="仿宋" w:eastAsia="仿宋_GB2312"/>
          <w:sz w:val="32"/>
          <w:szCs w:val="32"/>
        </w:rPr>
        <w:t>个职能股室：办公室、投资规划节能股、运行监测服务股、科技信息股、商务综合股、国有资产监管股</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党务办公室</w:t>
      </w:r>
      <w:r>
        <w:rPr>
          <w:rFonts w:hint="eastAsia" w:ascii="仿宋_GB2312" w:hAnsi="仿宋" w:eastAsia="仿宋_GB2312"/>
          <w:sz w:val="32"/>
          <w:szCs w:val="32"/>
        </w:rPr>
        <w:t xml:space="preserve">。 </w:t>
      </w:r>
    </w:p>
    <w:p>
      <w:pPr>
        <w:numPr>
          <w:ilvl w:val="0"/>
          <w:numId w:val="0"/>
        </w:numPr>
        <w:ind w:firstLine="640" w:firstLineChars="200"/>
        <w:rPr>
          <w:rFonts w:hint="eastAsia" w:ascii="仿宋" w:hAnsi="仿宋" w:eastAsia="仿宋_GB2312" w:cs="仿宋"/>
          <w:sz w:val="32"/>
          <w:szCs w:val="32"/>
          <w:lang w:val="en-US" w:eastAsia="zh-CN"/>
        </w:rPr>
      </w:pPr>
      <w:r>
        <w:rPr>
          <w:rFonts w:hint="eastAsia" w:ascii="仿宋_GB2312" w:hAnsi="仿宋" w:eastAsia="仿宋_GB2312"/>
          <w:sz w:val="32"/>
          <w:szCs w:val="32"/>
          <w:lang w:val="en-US" w:eastAsia="zh-CN"/>
        </w:rPr>
        <w:t>目前我单位共有财政供养人员31人，其中行政人员12人，事业人员19人。</w:t>
      </w:r>
      <w:r>
        <w:rPr>
          <w:rFonts w:hint="eastAsia" w:ascii="仿宋_GB2312" w:hAnsi="仿宋" w:eastAsia="仿宋_GB2312"/>
          <w:sz w:val="32"/>
          <w:szCs w:val="32"/>
        </w:rPr>
        <w:t xml:space="preserve"> </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单位管理制度</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工业和信息化局为加强预算管理、规范财务行为，已制定单位内部控制及财务管理制度，对单位的岗位责任制、财务审核报批、财产物资管理、内部财务管理、会计档案管理、财务审计及相关项目管理审批等方面做出了规定。经实地抽查，相关制度均得到有效执行，制度建立比较完善。</w:t>
      </w:r>
    </w:p>
    <w:p>
      <w:pPr>
        <w:numPr>
          <w:ilvl w:val="0"/>
          <w:numId w:val="1"/>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单位预算资金</w:t>
      </w:r>
    </w:p>
    <w:p>
      <w:pPr>
        <w:ind w:firstLine="645"/>
        <w:rPr>
          <w:rFonts w:hint="eastAsia" w:ascii="仿宋" w:hAnsi="仿宋" w:eastAsia="仿宋"/>
          <w:sz w:val="32"/>
          <w:szCs w:val="32"/>
          <w:lang w:eastAsia="zh-CN"/>
        </w:rPr>
      </w:pPr>
      <w:r>
        <w:rPr>
          <w:rFonts w:hint="eastAsia" w:ascii="仿宋" w:hAnsi="仿宋" w:eastAsia="仿宋"/>
          <w:sz w:val="32"/>
          <w:szCs w:val="32"/>
        </w:rPr>
        <w:t>工信局2021年部门收入</w:t>
      </w:r>
      <w:r>
        <w:rPr>
          <w:rFonts w:hint="eastAsia" w:ascii="仿宋" w:hAnsi="仿宋" w:eastAsia="仿宋"/>
          <w:sz w:val="32"/>
          <w:szCs w:val="32"/>
          <w:lang w:val="en-US" w:eastAsia="zh-CN"/>
        </w:rPr>
        <w:t>429.23</w:t>
      </w:r>
      <w:r>
        <w:rPr>
          <w:rFonts w:hint="eastAsia" w:ascii="仿宋" w:hAnsi="仿宋" w:eastAsia="仿宋"/>
          <w:sz w:val="32"/>
          <w:szCs w:val="32"/>
        </w:rPr>
        <w:t>万元，其中：公共预算财政拨款收入</w:t>
      </w:r>
      <w:r>
        <w:rPr>
          <w:rFonts w:hint="eastAsia" w:ascii="仿宋" w:hAnsi="仿宋" w:eastAsia="仿宋"/>
          <w:sz w:val="32"/>
          <w:szCs w:val="32"/>
          <w:lang w:val="en-US" w:eastAsia="zh-CN"/>
        </w:rPr>
        <w:t>429.23</w:t>
      </w:r>
      <w:r>
        <w:rPr>
          <w:rFonts w:hint="eastAsia" w:ascii="仿宋" w:hAnsi="仿宋" w:eastAsia="仿宋"/>
          <w:sz w:val="32"/>
          <w:szCs w:val="32"/>
        </w:rPr>
        <w:t>万元。</w:t>
      </w:r>
    </w:p>
    <w:p>
      <w:pPr>
        <w:ind w:firstLine="645"/>
        <w:rPr>
          <w:rFonts w:ascii="仿宋" w:hAnsi="仿宋" w:eastAsia="仿宋"/>
          <w:sz w:val="32"/>
          <w:szCs w:val="32"/>
        </w:rPr>
      </w:pPr>
      <w:r>
        <w:rPr>
          <w:rFonts w:hint="eastAsia" w:ascii="仿宋" w:hAnsi="仿宋" w:eastAsia="仿宋"/>
          <w:sz w:val="32"/>
          <w:szCs w:val="32"/>
        </w:rPr>
        <w:t>工信局2021年部门支出</w:t>
      </w:r>
      <w:r>
        <w:rPr>
          <w:rFonts w:hint="eastAsia" w:ascii="仿宋" w:hAnsi="仿宋" w:eastAsia="仿宋"/>
          <w:sz w:val="32"/>
          <w:szCs w:val="32"/>
          <w:lang w:val="en-US" w:eastAsia="zh-CN"/>
        </w:rPr>
        <w:t>429.23</w:t>
      </w:r>
      <w:r>
        <w:rPr>
          <w:rFonts w:hint="eastAsia" w:ascii="仿宋" w:hAnsi="仿宋" w:eastAsia="仿宋"/>
          <w:sz w:val="32"/>
          <w:szCs w:val="32"/>
        </w:rPr>
        <w:t>万元，其中：公共预算财政拨款支出</w:t>
      </w:r>
      <w:r>
        <w:rPr>
          <w:rFonts w:hint="eastAsia" w:ascii="仿宋" w:hAnsi="仿宋" w:eastAsia="仿宋"/>
          <w:sz w:val="32"/>
          <w:szCs w:val="32"/>
          <w:lang w:val="en-US" w:eastAsia="zh-CN"/>
        </w:rPr>
        <w:t>429.23</w:t>
      </w:r>
      <w:r>
        <w:rPr>
          <w:rFonts w:hint="eastAsia" w:ascii="仿宋" w:hAnsi="仿宋" w:eastAsia="仿宋"/>
          <w:sz w:val="32"/>
          <w:szCs w:val="32"/>
        </w:rPr>
        <w:t>万元。</w:t>
      </w:r>
    </w:p>
    <w:p>
      <w:pPr>
        <w:ind w:firstLine="645"/>
        <w:rPr>
          <w:rFonts w:hint="eastAsia" w:ascii="仿宋" w:hAnsi="仿宋" w:eastAsia="仿宋" w:cs="仿宋"/>
          <w:sz w:val="32"/>
          <w:szCs w:val="32"/>
          <w:lang w:eastAsia="zh-CN"/>
        </w:rPr>
      </w:pPr>
      <w:r>
        <w:rPr>
          <w:rFonts w:hint="eastAsia" w:ascii="仿宋" w:hAnsi="仿宋" w:eastAsia="仿宋"/>
          <w:sz w:val="32"/>
          <w:szCs w:val="32"/>
        </w:rPr>
        <w:t>基本支出</w:t>
      </w:r>
      <w:r>
        <w:rPr>
          <w:rFonts w:hint="eastAsia" w:ascii="仿宋" w:hAnsi="仿宋" w:eastAsia="仿宋"/>
          <w:sz w:val="32"/>
          <w:szCs w:val="32"/>
          <w:lang w:val="en-US" w:eastAsia="zh-CN"/>
        </w:rPr>
        <w:t>395.44</w:t>
      </w:r>
      <w:r>
        <w:rPr>
          <w:rFonts w:hint="eastAsia" w:ascii="仿宋" w:hAnsi="仿宋" w:eastAsia="仿宋"/>
          <w:sz w:val="32"/>
          <w:szCs w:val="32"/>
        </w:rPr>
        <w:t>万元，其中：工资福利支出</w:t>
      </w:r>
      <w:r>
        <w:rPr>
          <w:rFonts w:hint="eastAsia" w:ascii="仿宋" w:hAnsi="仿宋" w:eastAsia="仿宋" w:cs="仿宋"/>
          <w:sz w:val="32"/>
          <w:szCs w:val="32"/>
        </w:rPr>
        <w:t>3</w:t>
      </w:r>
      <w:r>
        <w:rPr>
          <w:rFonts w:hint="eastAsia" w:ascii="仿宋" w:hAnsi="仿宋" w:eastAsia="仿宋" w:cs="仿宋"/>
          <w:sz w:val="32"/>
          <w:szCs w:val="32"/>
          <w:lang w:val="en-US" w:eastAsia="zh-CN"/>
        </w:rPr>
        <w:t>26.37</w:t>
      </w:r>
      <w:r>
        <w:rPr>
          <w:rFonts w:hint="eastAsia" w:ascii="仿宋" w:hAnsi="仿宋" w:eastAsia="仿宋"/>
          <w:sz w:val="32"/>
          <w:szCs w:val="32"/>
        </w:rPr>
        <w:t>万元；商品和服务支出</w:t>
      </w:r>
      <w:r>
        <w:rPr>
          <w:rFonts w:hint="eastAsia" w:ascii="仿宋" w:hAnsi="仿宋" w:eastAsia="仿宋"/>
          <w:sz w:val="32"/>
          <w:szCs w:val="32"/>
          <w:lang w:val="en-US" w:eastAsia="zh-CN"/>
        </w:rPr>
        <w:t>33.76</w:t>
      </w:r>
      <w:r>
        <w:rPr>
          <w:rFonts w:hint="eastAsia" w:ascii="仿宋" w:hAnsi="仿宋" w:eastAsia="仿宋"/>
          <w:sz w:val="32"/>
          <w:szCs w:val="32"/>
        </w:rPr>
        <w:t>万元，个人家庭的补助</w:t>
      </w:r>
      <w:r>
        <w:rPr>
          <w:rFonts w:hint="eastAsia" w:ascii="仿宋" w:hAnsi="仿宋" w:eastAsia="仿宋"/>
          <w:sz w:val="32"/>
          <w:szCs w:val="32"/>
          <w:lang w:val="en-US" w:eastAsia="zh-CN"/>
        </w:rPr>
        <w:t>35.31</w:t>
      </w:r>
      <w:r>
        <w:rPr>
          <w:rFonts w:hint="eastAsia" w:ascii="仿宋" w:hAnsi="仿宋" w:eastAsia="仿宋"/>
          <w:sz w:val="32"/>
          <w:szCs w:val="32"/>
        </w:rPr>
        <w:t>万元</w:t>
      </w:r>
      <w:r>
        <w:rPr>
          <w:rFonts w:hint="eastAsia" w:ascii="仿宋" w:hAnsi="仿宋" w:eastAsia="仿宋"/>
          <w:sz w:val="32"/>
          <w:szCs w:val="32"/>
          <w:lang w:eastAsia="zh-CN"/>
        </w:rPr>
        <w:t>。</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二、单位绩效目标</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（一）单位战略目标</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1、保证单位正常运转。</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2、保证人员工资的正常发放。</w:t>
      </w:r>
    </w:p>
    <w:p>
      <w:pPr>
        <w:numPr>
          <w:ilvl w:val="0"/>
          <w:numId w:val="0"/>
        </w:numPr>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3、提升企业的综合竞争力，推动产业转型升级。</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4、优化营商环境。</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5、节约资源，保护生态环境。</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（二）单位中长期规划</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1、坚持党建统领，全力打造工信党建品牌，保证人员工资的正常发放，车辆使用情况严格把关。</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2、坚持绿色、安全发展，加快推进产业转型升级，吸引更多企业积极加入我县智创发展行列。</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3、坚持服务至上，深入助力工业企业发展。</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（三）单位职能职责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1.工业和信息化局贯彻落实党中央、省委、市委、</w:t>
      </w:r>
      <w:r>
        <w:rPr>
          <w:rFonts w:hint="eastAsia" w:ascii="仿宋_GB2312" w:hAnsi="仿宋_GB2312" w:eastAsia="仿宋_GB2312" w:cs="仿宋_GB2312"/>
          <w:snapToGrid w:val="0"/>
          <w:sz w:val="32"/>
          <w:szCs w:val="32"/>
        </w:rPr>
        <w:t>县委关于工业和信息化、商务</w:t>
      </w:r>
      <w:r>
        <w:rPr>
          <w:rFonts w:hint="eastAsia" w:ascii="仿宋_GB2312" w:hAnsi="仿宋_GB2312" w:eastAsia="仿宋_GB2312" w:cs="仿宋_GB2312"/>
          <w:sz w:val="32"/>
          <w:szCs w:val="32"/>
        </w:rPr>
        <w:t>、国有资产监督管理、民营经济发展促进工作的方针政策和决策部署，在履行职责过程中坚持和加强党对工业和信息化、商务、国有资产监督管理、民营经济发展促进工作的集中统一领导。</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2.提出全县工业高质量发展建议，协调解决工业高质量发展进程中的重大问题，参与拟订并组织实施县工业和信息化发展规划，推进产业结构调整和优化升级，推进信息化和工业化融合。</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拟订高新技术产业中涉及生物医药、新材料、信息产业等的规划组织实施。指导行业技术创新和技术进步，以先进适用技术优化提升传统产业。组织实施全县有关国家、省科技重大专项，推进相关科研成果产业化，推动软件业、信息服务业和新兴产业发展。</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综合分析工业与资源、环境协调发展的问题,促进可持续发展。组织实施全县工业和信息化领域能源节约和资源综合利用、工业循环经济、清洁生产促进实施办法。参与拟订资源综合利用、清洁生产促进及工业能源节约规划，组织协调相关示范工程和新产品、新技术、新设备、新材料的推广应用。负责全县工业和信息化领域节能工作。</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负责统筹推进全县工业领域信息化发展和信息安全，协调工业领域信息化建设中的问题，推动电信、广播电视和计算机网络融合，指导推进工业数字化、智能化、网络化制造和应用。负责全县大数据发展应用工作。负责大数据建设的规划组织实施、项目统筹管理等工作。承担工业和信息化应急管理有关工作。负责紧急状态下重要物资生产组织工作。指导工业和信息化相关行业加强安全生产管理。</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6.负责推进流通产业结构调整。指导流通企业改革、商贸服务业和社区商业发展。推动流通标准化和连锁经营、商业特许经营、物流配送、电子商务等现代流通方式的发展。</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7.参与拟订全县贸易发展规划，促进城乡市场发展。指导大宗产品批发市场规划和城市商业网点规划、商业体系建设工作。推进农村市场体系建设，组织实施农村现代流通网络工程。</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贯彻执行国别（地区）外经贸政策以及多边、双边经济合作政策，协助处理国别（地区）经贸关系中的事务，管理同未建交国家的经贸活动，牵头承担我县在世界贸易组织框架下的谈判和贸易政策审议、争端解决、通报咨询等工作，负责对外经济贸易协调工作。</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9.贯彻执行运用电子商务开拓国内市场的相关政策、措施。推动电子商务服务体系建设。建立完善我县商务信息公共服务体系。</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指导经济技术开发区的有关工作。牵头拟定全县经济开发区总体发展规划。提出重大体制改革创新的建议。研究拟订开发区整合、改制、设立、升级、扩区和考核等各项重要管理制度。综合协调和指导经济开发区和特殊经济贸易区域招商引资、信息咨询、业务培训和统计分析等工作。</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11.推进国有企业的现代企业制度建设，完善公司治理结构，推动国有经济结构和布局战略性调整。指导推进国有企业的改革和重组，对未授权的国有企业改革进行指导。</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12.承担监督所监管企业国有资产保值增值的责任。通过统计、稽核对监管企业国有资产保值增值情况进行监管，建立和完善国有资产保值增值指标体系，拟订考核标准，维护国有资产出资人的权益。</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13.完成县委、县人民政府交办的其他任务。</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（四）单位近三年工作计划及重点项目</w:t>
      </w:r>
    </w:p>
    <w:p>
      <w:pPr>
        <w:pStyle w:val="2"/>
        <w:rPr>
          <w:rFonts w:hint="eastAsia"/>
          <w:lang w:val="en-US" w:eastAsia="zh-CN"/>
        </w:rPr>
      </w:pPr>
      <w:r>
        <w:rPr>
          <w:rFonts w:hint="eastAsia" w:ascii="仿宋_GB2312" w:hAnsi="仿宋_GB2312" w:eastAsia="仿宋_GB2312" w:cs="仿宋_GB2312"/>
          <w:kern w:val="21"/>
          <w:sz w:val="32"/>
          <w:szCs w:val="32"/>
          <w:lang w:val="en-US" w:eastAsia="zh-CN"/>
        </w:rPr>
        <w:t>按照国家、省、市产业政策，进一步强化传统产业的升级改造，延伸上下游产业链条，培育扶持新兴产业，积极引进高新产业落地建设，努力实现全县工业结构持续优化。初步确定</w:t>
      </w:r>
      <w:r>
        <w:rPr>
          <w:rFonts w:hint="eastAsia" w:ascii="仿宋_GB2312" w:hAnsi="仿宋_GB2312" w:eastAsia="仿宋" w:cs="仿宋_GB2312"/>
          <w:sz w:val="32"/>
          <w:szCs w:val="32"/>
          <w:lang w:val="en-US" w:eastAsia="zh-CN"/>
        </w:rPr>
        <w:t>重点升级改造项目12个，总投资99.76亿元，当年计划投资65.46亿元，其中续建项目2个：通才公司置换建设1×1280</w:t>
      </w:r>
      <w:r>
        <w:rPr>
          <w:rFonts w:hint="eastAsia" w:ascii="仿宋_GB2312" w:hAnsi="仿宋_GB2312" w:eastAsia="仿宋_GB2312" w:cs="仿宋_GB2312"/>
          <w:b w:val="0"/>
          <w:bCs w:val="0"/>
          <w:color w:val="auto"/>
          <w:kern w:val="2"/>
          <w:sz w:val="32"/>
          <w:szCs w:val="32"/>
          <w:lang w:val="en-US" w:eastAsia="zh-CN" w:bidi="ar-SA"/>
        </w:rPr>
        <w:t>m³</w:t>
      </w:r>
      <w:r>
        <w:rPr>
          <w:rFonts w:hint="eastAsia" w:ascii="仿宋_GB2312" w:hAnsi="仿宋_GB2312" w:eastAsia="仿宋" w:cs="仿宋_GB2312"/>
          <w:sz w:val="32"/>
          <w:szCs w:val="32"/>
          <w:lang w:val="en-US" w:eastAsia="zh-CN"/>
        </w:rPr>
        <w:t>炼铁高炉及配套项目，总投资35亿元，目前1280高炉建设完成，1X100t转炉主体建设完成；通才公司高速棒材生产线改扩建项目，总投资3.3亿元，目前已开工建设。新建项目10个：晋南公司3个项目，分别是总投资8.65亿元年产120万吨型钢项目、总投资5000万元余热发电项目、总投资4亿元自动化料场项目，目前正在前期规划设计和手续办理；通才公司2个项目，分别是总投资7.5亿元年产65万吨热轧优质合金钢中宽带钢生产线建设项目、总投资16亿元热轧优质带钢生产线技术改造项目，目前正在办理前期手续；山西晋南瑞能新能源科技有限公司2个项目，分别是总投资20亿元300MW光伏“新能源+储能”项目和总投资2亿元光伏支架项目，目前正在办理前期手续；山西晋南绿色再生资源利用有限公司总投资8000万元年加工3万辆报废汽车拆解回收利用项目、山西立恒钢铁集团股份有限公司总投资2亿元年产30万吨热镀锌项目、曲沃县绿恒农业发展有限公司总投资1060万元申园文旅建设等项目，目前正在设计规划和前期手续办理。</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（五）单位</w:t>
      </w:r>
      <w:bookmarkStart w:id="0" w:name="_GoBack"/>
      <w:bookmarkEnd w:id="0"/>
      <w:r>
        <w:rPr>
          <w:rFonts w:hint="eastAsia" w:ascii="仿宋" w:hAnsi="仿宋" w:eastAsia="仿宋" w:cs="仿宋"/>
          <w:sz w:val="32"/>
          <w:szCs w:val="32"/>
          <w:lang w:val="en-US" w:eastAsia="zh-CN"/>
        </w:rPr>
        <w:t>整体支出绩效目标</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1、保障单位的正常运转。</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2、保障人员工资的足额及时发放。</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将奖励资金发挥最大化，扩大原材料采购渠道，将企业做大做强，优化全县废钢铁加工行业的合理布局，废钢行业跟随国家绿色发展的目标，更好的支持、服务于当地经济的建设，更好、更优地提高当地人员就业及保障。</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4、强化运行监测，努力推动工业经济平稳运行，加大山西立恒钢铁集团股份有限公司2020年及以后每一年营业收入中对科技研发费用的投入力度，提升企业综合竞争力。</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通过专项资金的注入实施打造国际一流的棒线生产基地，加快制造与服务的协同发展，推动商业模式创新和业态创新，使企业由基础制造型向精益制造型、由一般制造型向研发制造型、由传统制造型向智能先进制造型的转型升级。实现钢铁生产管理从传统制造向智能制造转型。</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6、更好的完成社零指标任务，鼓励企业入统。优化营商环境。</w:t>
      </w:r>
    </w:p>
    <w:p>
      <w:pPr>
        <w:numPr>
          <w:ilvl w:val="0"/>
          <w:numId w:val="0"/>
        </w:numPr>
        <w:ind w:leftChars="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三、评价思路</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（一）评价思路及关注点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按照《曲沃县县财政支出绩效评价管理办法》规定，我单位分别编制了部门整体支出和项目支出绩效目标，并经</w:t>
      </w:r>
      <w:r>
        <w:rPr>
          <w:rFonts w:hint="eastAsia" w:ascii="仿宋_GB2312" w:hAnsi="仿宋_GB2312" w:eastAsia="仿宋_GB2312" w:cs="仿宋_GB2312"/>
          <w:sz w:val="32"/>
          <w:szCs w:val="32"/>
          <w:lang w:val="en-US" w:eastAsia="zh-CN"/>
        </w:rPr>
        <w:t>全局</w:t>
      </w:r>
      <w:r>
        <w:rPr>
          <w:rFonts w:hint="eastAsia" w:ascii="仿宋_GB2312" w:hAnsi="仿宋_GB2312" w:eastAsia="仿宋_GB2312" w:cs="仿宋_GB2312"/>
          <w:sz w:val="32"/>
          <w:szCs w:val="32"/>
        </w:rPr>
        <w:t>审议通过。我单位将牢牢树立绩效管理理念、强化主体意识、落实工作责任，切实将绩效评价作为改进工作管理、提升工作水平、提高资金效益的有力措施。在开展评价工作中，积极提供资料、主动配合工作，共同推进绩效评价有序开展、取得实效。</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评价过程中重点关注2021年度</w:t>
      </w:r>
      <w:r>
        <w:rPr>
          <w:rFonts w:hint="eastAsia" w:ascii="仿宋_GB2312" w:hAnsi="仿宋_GB2312" w:eastAsia="仿宋_GB2312" w:cs="仿宋_GB2312"/>
          <w:sz w:val="32"/>
          <w:szCs w:val="32"/>
          <w:lang w:val="en-US" w:eastAsia="zh-CN"/>
        </w:rPr>
        <w:t>工信局</w:t>
      </w:r>
      <w:r>
        <w:rPr>
          <w:rFonts w:hint="eastAsia" w:ascii="仿宋_GB2312" w:hAnsi="仿宋_GB2312" w:eastAsia="仿宋_GB2312" w:cs="仿宋_GB2312"/>
          <w:sz w:val="32"/>
          <w:szCs w:val="32"/>
        </w:rPr>
        <w:t>整体支出情况、年度工作任务及项目完成情况、年度履职情况，以及所取得的效果。通过评价，在部门预算配置、预算执行等方面总结经验，找准存在的问题，为进一步加强和规范部门资金支出，提升预算配置的科学合理性，优化财政支出结构提供决策参考和依据，为下一步部门整体支出绩效评价的逐步推开进行经验性积累奠定基础。</w:t>
      </w:r>
    </w:p>
    <w:p>
      <w:pPr>
        <w:numPr>
          <w:ilvl w:val="0"/>
          <w:numId w:val="2"/>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评价方法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（1）核实数据。对2021 年度部门整体支出数据的准确性、真实性进行核实，将2021年度和2020年度部门整体支出情况进行比较分析。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（2）查阅资料。查阅2021年度预算安排、预算追加、资金管理、经费支出、资产管理等相关文件资料和财务凭证。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（3）发放调查问卷。对部门履行职责情况的公众满意度向社会群众、服务对象、单位员工进行调查。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（4）归纳汇总。对收集的评价材料结合本单位情况进行综合分析、归纳汇总。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（5）根据评价材料结合各项评价指标进行分析评分。</w:t>
      </w:r>
    </w:p>
    <w:p>
      <w:pPr>
        <w:rPr>
          <w:rFonts w:ascii="仿宋" w:hAnsi="仿宋" w:eastAsia="仿宋" w:cs="仿宋"/>
          <w:sz w:val="32"/>
          <w:szCs w:val="32"/>
        </w:rPr>
      </w:pPr>
      <w:r>
        <w:rPr>
          <w:rFonts w:hint="eastAsia" w:ascii="仿宋_GB2312" w:hAnsi="仿宋_GB2312" w:eastAsia="仿宋_GB2312" w:cs="仿宋_GB2312"/>
          <w:sz w:val="32"/>
          <w:szCs w:val="32"/>
        </w:rPr>
        <w:t>（6）形成绩效评价自评报告。</w:t>
      </w:r>
    </w:p>
    <w:p>
      <w:pPr>
        <w:rPr>
          <w:rFonts w:ascii="仿宋" w:hAnsi="仿宋" w:eastAsia="仿宋" w:cs="仿宋"/>
          <w:sz w:val="32"/>
          <w:szCs w:val="32"/>
        </w:rPr>
      </w:pPr>
      <w:r>
        <w:rPr>
          <w:rFonts w:hint="eastAsia" w:ascii="仿宋" w:hAnsi="仿宋" w:eastAsia="仿宋" w:cs="仿宋"/>
          <w:sz w:val="32"/>
          <w:szCs w:val="32"/>
        </w:rPr>
        <w:t>（三）评价过程</w:t>
      </w:r>
    </w:p>
    <w:p>
      <w:pPr>
        <w:ind w:firstLine="640" w:firstLineChars="200"/>
        <w:rPr>
          <w:rFonts w:hint="eastAsia" w:ascii="仿宋" w:hAnsi="仿宋" w:eastAsia="仿宋" w:cs="仿宋"/>
          <w:sz w:val="32"/>
          <w:szCs w:val="32"/>
          <w:lang w:val="en-US" w:eastAsia="zh-CN"/>
        </w:rPr>
      </w:pPr>
      <w:r>
        <w:rPr>
          <w:rFonts w:hint="eastAsia" w:ascii="仿宋" w:hAnsi="仿宋" w:eastAsia="仿宋"/>
          <w:sz w:val="32"/>
          <w:szCs w:val="32"/>
        </w:rPr>
        <w:t>根据曲沃县财政局绩效评价相关规定，成立了绩效评价工作领导小组，制定了财政资金绩效自评方案，并根据方案开展了绩效评价工作。评价小组采取座谈会等方式听取情况，检查基本支出有关资料，根据绩效自评材料进行分析，形成评价结论。</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四、指标体系</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（一）评价指标的构建思路及分值分布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曲沃县工业和信息化局</w:t>
      </w:r>
      <w:r>
        <w:rPr>
          <w:rFonts w:hint="eastAsia" w:ascii="仿宋_GB2312" w:hAnsi="仿宋_GB2312" w:eastAsia="仿宋_GB2312" w:cs="仿宋_GB2312"/>
          <w:sz w:val="32"/>
          <w:szCs w:val="32"/>
        </w:rPr>
        <w:t>绩效评价工作</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组根据绩效评价的基本原理、原则和项目特点，结合绩效目标，制定符合</w:t>
      </w:r>
      <w:r>
        <w:rPr>
          <w:rFonts w:hint="eastAsia" w:ascii="仿宋_GB2312" w:hAnsi="仿宋_GB2312" w:eastAsia="仿宋_GB2312" w:cs="仿宋_GB2312"/>
          <w:sz w:val="32"/>
          <w:szCs w:val="32"/>
          <w:lang w:val="en-US" w:eastAsia="zh-CN"/>
        </w:rPr>
        <w:t>工信局</w:t>
      </w:r>
      <w:r>
        <w:rPr>
          <w:rFonts w:hint="eastAsia" w:ascii="仿宋_GB2312" w:hAnsi="仿宋_GB2312" w:eastAsia="仿宋_GB2312" w:cs="仿宋_GB2312"/>
          <w:sz w:val="32"/>
          <w:szCs w:val="32"/>
        </w:rPr>
        <w:t>工作实际的评价指标体系、评分标准、评价方法和相关的工作程序和步骤，在规定的时间节点内开展绩效自评工作。</w:t>
      </w:r>
    </w:p>
    <w:p>
      <w:pPr>
        <w:rPr>
          <w:rFonts w:ascii="仿宋" w:hAnsi="仿宋" w:eastAsia="仿宋" w:cs="仿宋"/>
          <w:sz w:val="32"/>
          <w:szCs w:val="32"/>
        </w:rPr>
      </w:pPr>
      <w:r>
        <w:rPr>
          <w:rFonts w:hint="eastAsia" w:ascii="仿宋" w:hAnsi="仿宋" w:eastAsia="仿宋" w:cs="仿宋"/>
          <w:sz w:val="32"/>
          <w:szCs w:val="32"/>
        </w:rPr>
        <w:t>分值分布详见附</w:t>
      </w:r>
      <w:r>
        <w:rPr>
          <w:rFonts w:hint="eastAsia" w:ascii="仿宋" w:hAnsi="仿宋" w:eastAsia="仿宋" w:cs="仿宋"/>
          <w:sz w:val="32"/>
          <w:szCs w:val="32"/>
          <w:lang w:val="en-US" w:eastAsia="zh-CN"/>
        </w:rPr>
        <w:t>件</w:t>
      </w:r>
      <w:r>
        <w:rPr>
          <w:rFonts w:hint="eastAsia" w:ascii="仿宋" w:hAnsi="仿宋" w:eastAsia="仿宋" w:cs="仿宋"/>
          <w:sz w:val="32"/>
          <w:szCs w:val="32"/>
        </w:rPr>
        <w:t>4</w:t>
      </w:r>
    </w:p>
    <w:p>
      <w:pPr>
        <w:numPr>
          <w:ilvl w:val="0"/>
          <w:numId w:val="2"/>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评价等级</w:t>
      </w:r>
    </w:p>
    <w:p>
      <w:pPr>
        <w:ind w:firstLine="640" w:firstLineChars="200"/>
        <w:rPr>
          <w:rFonts w:ascii="楷体" w:hAnsi="楷体" w:eastAsia="楷体" w:cs="楷体"/>
          <w:b/>
          <w:bCs/>
          <w:sz w:val="32"/>
          <w:szCs w:val="32"/>
        </w:rPr>
      </w:pPr>
      <w:r>
        <w:rPr>
          <w:rFonts w:hint="eastAsia" w:ascii="仿宋" w:hAnsi="仿宋" w:eastAsia="仿宋"/>
          <w:sz w:val="32"/>
          <w:szCs w:val="32"/>
        </w:rPr>
        <w:t>我们从</w:t>
      </w:r>
      <w:r>
        <w:rPr>
          <w:rFonts w:hint="eastAsia" w:ascii="仿宋" w:hAnsi="仿宋" w:eastAsia="仿宋" w:cs="仿宋"/>
          <w:bCs/>
          <w:kern w:val="0"/>
          <w:sz w:val="32"/>
          <w:szCs w:val="32"/>
        </w:rPr>
        <w:t>履职效能</w:t>
      </w:r>
      <w:r>
        <w:rPr>
          <w:rFonts w:hint="eastAsia" w:ascii="仿宋" w:hAnsi="仿宋" w:eastAsia="仿宋"/>
          <w:sz w:val="32"/>
          <w:szCs w:val="32"/>
        </w:rPr>
        <w:t>（20分）、</w:t>
      </w:r>
      <w:r>
        <w:rPr>
          <w:rFonts w:hint="eastAsia" w:ascii="仿宋" w:hAnsi="仿宋" w:eastAsia="仿宋"/>
          <w:sz w:val="32"/>
          <w:szCs w:val="32"/>
          <w:lang w:val="en-US" w:eastAsia="zh-CN"/>
        </w:rPr>
        <w:t>管理效率</w:t>
      </w:r>
      <w:r>
        <w:rPr>
          <w:rFonts w:hint="eastAsia" w:ascii="仿宋" w:hAnsi="仿宋" w:eastAsia="仿宋"/>
          <w:sz w:val="32"/>
          <w:szCs w:val="32"/>
        </w:rPr>
        <w:t>（50分）、</w:t>
      </w:r>
      <w:r>
        <w:rPr>
          <w:rFonts w:hint="eastAsia" w:ascii="仿宋" w:hAnsi="仿宋" w:eastAsia="仿宋" w:cs="仿宋"/>
          <w:bCs/>
          <w:kern w:val="0"/>
          <w:sz w:val="32"/>
          <w:szCs w:val="32"/>
        </w:rPr>
        <w:t>社会效应</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20分）</w:t>
      </w:r>
      <w:r>
        <w:rPr>
          <w:rFonts w:hint="eastAsia" w:ascii="仿宋" w:hAnsi="仿宋" w:eastAsia="仿宋" w:cs="仿宋"/>
          <w:bCs/>
          <w:kern w:val="0"/>
          <w:sz w:val="32"/>
          <w:szCs w:val="32"/>
        </w:rPr>
        <w:t>和可持续性</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0分），进行了分值设置。评价等级标准为：优（90—100分）、良（80—89分）、中（60—79分）、差（0—59分）四个档次。</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五、评价结论及绩效分析</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曲沃县工业和信息化局</w:t>
      </w:r>
      <w:r>
        <w:rPr>
          <w:rFonts w:hint="eastAsia" w:ascii="仿宋_GB2312" w:hAnsi="仿宋_GB2312" w:eastAsia="仿宋_GB2312" w:cs="仿宋_GB2312"/>
          <w:sz w:val="32"/>
          <w:szCs w:val="32"/>
        </w:rPr>
        <w:t>2021年部门整体执行的绩效情况基本达到预期。2021年</w:t>
      </w:r>
      <w:r>
        <w:rPr>
          <w:rFonts w:hint="eastAsia" w:ascii="仿宋_GB2312" w:hAnsi="仿宋_GB2312" w:eastAsia="仿宋_GB2312" w:cs="仿宋_GB2312"/>
          <w:sz w:val="32"/>
          <w:szCs w:val="32"/>
          <w:lang w:val="en-US" w:eastAsia="zh-CN"/>
        </w:rPr>
        <w:t>县工业和信息化局在党组织建设、市场运行检测、商贸流通服务、推动工业企业转型升级、优化营商环境</w:t>
      </w:r>
      <w:r>
        <w:rPr>
          <w:rFonts w:hint="eastAsia" w:ascii="仿宋_GB2312" w:hAnsi="仿宋_GB2312" w:eastAsia="仿宋_GB2312" w:cs="仿宋_GB2312"/>
          <w:sz w:val="32"/>
          <w:szCs w:val="32"/>
        </w:rPr>
        <w:t>等方面有序开展工作。通过各项工作的开展，取得了良好的履职效果，也得到了社会公众和服务对象的认可。</w:t>
      </w:r>
    </w:p>
    <w:p>
      <w:pPr>
        <w:numPr>
          <w:ilvl w:val="0"/>
          <w:numId w:val="3"/>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绩效分析</w:t>
      </w:r>
    </w:p>
    <w:p>
      <w:pPr>
        <w:ind w:firstLine="642"/>
        <w:rPr>
          <w:rFonts w:hint="eastAsia" w:ascii="仿宋" w:hAnsi="仿宋" w:eastAsia="仿宋" w:cs="仿宋"/>
          <w:bCs/>
          <w:kern w:val="0"/>
          <w:sz w:val="32"/>
          <w:szCs w:val="32"/>
        </w:rPr>
      </w:pPr>
      <w:r>
        <w:rPr>
          <w:rFonts w:hint="eastAsia" w:ascii="仿宋" w:hAnsi="仿宋" w:eastAsia="仿宋" w:cs="仿宋"/>
          <w:bCs/>
          <w:kern w:val="0"/>
          <w:sz w:val="32"/>
          <w:szCs w:val="32"/>
        </w:rPr>
        <w:t>通过评价指标体系及评价标准，通过数据采集、实地调研，对我</w:t>
      </w:r>
      <w:r>
        <w:rPr>
          <w:rFonts w:hint="eastAsia" w:ascii="仿宋" w:hAnsi="仿宋" w:eastAsia="仿宋" w:cs="仿宋"/>
          <w:bCs/>
          <w:kern w:val="0"/>
          <w:sz w:val="32"/>
          <w:szCs w:val="32"/>
          <w:lang w:val="en-US" w:eastAsia="zh-CN"/>
        </w:rPr>
        <w:t>局</w:t>
      </w:r>
      <w:r>
        <w:rPr>
          <w:rFonts w:hint="eastAsia" w:ascii="仿宋" w:hAnsi="仿宋" w:eastAsia="仿宋" w:cs="仿宋"/>
          <w:bCs/>
          <w:kern w:val="0"/>
          <w:sz w:val="32"/>
          <w:szCs w:val="32"/>
        </w:rPr>
        <w:t>整体支出进行评价，最终评分结果：总得分为9</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分，属于“优”。其中履职效能指标分值20分，得分18分，得分率为90%；</w:t>
      </w:r>
      <w:r>
        <w:rPr>
          <w:rFonts w:hint="eastAsia" w:ascii="仿宋" w:hAnsi="仿宋" w:eastAsia="仿宋" w:cs="仿宋"/>
          <w:bCs/>
          <w:kern w:val="0"/>
          <w:sz w:val="32"/>
          <w:szCs w:val="32"/>
          <w:lang w:val="en-US" w:eastAsia="zh-CN"/>
        </w:rPr>
        <w:t>管理效率</w:t>
      </w:r>
      <w:r>
        <w:rPr>
          <w:rFonts w:hint="eastAsia" w:ascii="仿宋" w:hAnsi="仿宋" w:eastAsia="仿宋" w:cs="仿宋"/>
          <w:bCs/>
          <w:kern w:val="0"/>
          <w:sz w:val="32"/>
          <w:szCs w:val="32"/>
        </w:rPr>
        <w:t>指标分值50分，得分</w:t>
      </w:r>
      <w:r>
        <w:rPr>
          <w:rFonts w:hint="eastAsia" w:ascii="仿宋" w:hAnsi="仿宋" w:eastAsia="仿宋" w:cs="仿宋"/>
          <w:bCs/>
          <w:kern w:val="0"/>
          <w:sz w:val="32"/>
          <w:szCs w:val="32"/>
          <w:lang w:val="en-US" w:eastAsia="zh-CN"/>
        </w:rPr>
        <w:t>48</w:t>
      </w:r>
      <w:r>
        <w:rPr>
          <w:rFonts w:hint="eastAsia" w:ascii="仿宋" w:hAnsi="仿宋" w:eastAsia="仿宋" w:cs="仿宋"/>
          <w:bCs/>
          <w:kern w:val="0"/>
          <w:sz w:val="32"/>
          <w:szCs w:val="32"/>
        </w:rPr>
        <w:t>分，得分率为</w:t>
      </w:r>
      <w:r>
        <w:rPr>
          <w:rFonts w:hint="eastAsia" w:ascii="仿宋" w:hAnsi="仿宋" w:eastAsia="仿宋" w:cs="仿宋"/>
          <w:bCs/>
          <w:kern w:val="0"/>
          <w:sz w:val="32"/>
          <w:szCs w:val="32"/>
          <w:lang w:val="en-US" w:eastAsia="zh-CN"/>
        </w:rPr>
        <w:t>96</w:t>
      </w:r>
      <w:r>
        <w:rPr>
          <w:rFonts w:hint="eastAsia" w:ascii="仿宋" w:hAnsi="仿宋" w:eastAsia="仿宋" w:cs="仿宋"/>
          <w:bCs/>
          <w:kern w:val="0"/>
          <w:sz w:val="32"/>
          <w:szCs w:val="32"/>
        </w:rPr>
        <w:t>%；社会效应</w:t>
      </w:r>
      <w:r>
        <w:rPr>
          <w:rFonts w:hint="eastAsia" w:ascii="仿宋" w:hAnsi="仿宋" w:eastAsia="仿宋" w:cs="仿宋"/>
          <w:bCs/>
          <w:kern w:val="0"/>
          <w:sz w:val="32"/>
          <w:szCs w:val="32"/>
          <w:lang w:val="en-US" w:eastAsia="zh-CN"/>
        </w:rPr>
        <w:t>指标分值20分，得分18分，</w:t>
      </w:r>
      <w:r>
        <w:rPr>
          <w:rFonts w:hint="eastAsia" w:ascii="仿宋" w:hAnsi="仿宋" w:eastAsia="仿宋" w:cs="仿宋"/>
          <w:bCs/>
          <w:kern w:val="0"/>
          <w:sz w:val="32"/>
          <w:szCs w:val="32"/>
        </w:rPr>
        <w:t>得分率为</w:t>
      </w:r>
      <w:r>
        <w:rPr>
          <w:rFonts w:hint="eastAsia" w:ascii="仿宋" w:hAnsi="仿宋" w:eastAsia="仿宋" w:cs="仿宋"/>
          <w:bCs/>
          <w:kern w:val="0"/>
          <w:sz w:val="32"/>
          <w:szCs w:val="32"/>
          <w:lang w:val="en-US" w:eastAsia="zh-CN"/>
        </w:rPr>
        <w:t>90</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w:t>
      </w:r>
      <w:r>
        <w:rPr>
          <w:rFonts w:hint="eastAsia" w:ascii="仿宋" w:hAnsi="仿宋" w:eastAsia="仿宋" w:cs="仿宋"/>
          <w:bCs/>
          <w:kern w:val="0"/>
          <w:sz w:val="32"/>
          <w:szCs w:val="32"/>
        </w:rPr>
        <w:t>可持续性指标分值</w:t>
      </w:r>
      <w:r>
        <w:rPr>
          <w:rFonts w:hint="eastAsia" w:ascii="仿宋" w:hAnsi="仿宋" w:eastAsia="仿宋" w:cs="仿宋"/>
          <w:bCs/>
          <w:kern w:val="0"/>
          <w:sz w:val="32"/>
          <w:szCs w:val="32"/>
          <w:lang w:val="en-US" w:eastAsia="zh-CN"/>
        </w:rPr>
        <w:t>10</w:t>
      </w:r>
      <w:r>
        <w:rPr>
          <w:rFonts w:hint="eastAsia" w:ascii="仿宋" w:hAnsi="仿宋" w:eastAsia="仿宋" w:cs="仿宋"/>
          <w:bCs/>
          <w:kern w:val="0"/>
          <w:sz w:val="32"/>
          <w:szCs w:val="32"/>
        </w:rPr>
        <w:t>分，得分</w:t>
      </w:r>
      <w:r>
        <w:rPr>
          <w:rFonts w:hint="eastAsia" w:ascii="仿宋" w:hAnsi="仿宋" w:eastAsia="仿宋" w:cs="仿宋"/>
          <w:bCs/>
          <w:kern w:val="0"/>
          <w:sz w:val="32"/>
          <w:szCs w:val="32"/>
          <w:lang w:val="en-US" w:eastAsia="zh-CN"/>
        </w:rPr>
        <w:t>8</w:t>
      </w:r>
      <w:r>
        <w:rPr>
          <w:rFonts w:hint="eastAsia" w:ascii="仿宋" w:hAnsi="仿宋" w:eastAsia="仿宋" w:cs="仿宋"/>
          <w:bCs/>
          <w:kern w:val="0"/>
          <w:sz w:val="32"/>
          <w:szCs w:val="32"/>
        </w:rPr>
        <w:t>分，得分率为8</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w:t>
      </w:r>
    </w:p>
    <w:p>
      <w:pPr>
        <w:numPr>
          <w:ilvl w:val="0"/>
          <w:numId w:val="4"/>
        </w:numPr>
        <w:ind w:left="-12" w:leftChars="0" w:firstLine="642" w:firstLineChars="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rPr>
        <w:t>坚持党建统领。</w:t>
      </w:r>
      <w:r>
        <w:rPr>
          <w:rFonts w:hint="eastAsia" w:ascii="仿宋_GB2312" w:hAnsi="仿宋_GB2312" w:eastAsia="仿宋_GB2312" w:cs="仿宋_GB2312"/>
          <w:sz w:val="32"/>
          <w:szCs w:val="32"/>
        </w:rPr>
        <w:t>始终坚持“书记抓、抓书记”的党建工作机制，牢牢扛起主体责任，强化责任担当，对标对表，狠抓落实。理清思路，加强工作谋划。研究制定《</w:t>
      </w:r>
      <w:r>
        <w:rPr>
          <w:rFonts w:hint="eastAsia" w:ascii="仿宋_GB2312" w:hAnsi="仿宋_GB2312" w:eastAsia="仿宋_GB2312" w:cs="仿宋_GB2312"/>
          <w:sz w:val="32"/>
          <w:szCs w:val="32"/>
          <w:lang w:val="en-US" w:eastAsia="zh-CN"/>
        </w:rPr>
        <w:t>曲沃县工业和信息化局</w:t>
      </w:r>
      <w:r>
        <w:rPr>
          <w:rFonts w:hint="eastAsia" w:ascii="仿宋_GB2312" w:hAnsi="仿宋_GB2312" w:eastAsia="仿宋_GB2312" w:cs="仿宋_GB2312"/>
          <w:sz w:val="32"/>
          <w:szCs w:val="32"/>
        </w:rPr>
        <w:t>机关党建工作要点》《</w:t>
      </w:r>
      <w:r>
        <w:rPr>
          <w:rFonts w:hint="eastAsia" w:ascii="仿宋_GB2312" w:hAnsi="仿宋_GB2312" w:eastAsia="仿宋_GB2312" w:cs="仿宋_GB2312"/>
          <w:sz w:val="32"/>
          <w:szCs w:val="32"/>
          <w:lang w:val="en-US" w:eastAsia="zh-CN"/>
        </w:rPr>
        <w:t>曲沃县工业和信息化局</w:t>
      </w:r>
      <w:r>
        <w:rPr>
          <w:rFonts w:hint="eastAsia" w:ascii="仿宋_GB2312" w:hAnsi="仿宋_GB2312" w:eastAsia="仿宋_GB2312" w:cs="仿宋_GB2312"/>
          <w:sz w:val="32"/>
          <w:szCs w:val="32"/>
        </w:rPr>
        <w:t>党建工作目标责任书》，建立问题清单、任务清单、责任清单三个清单。坚持党建工作例会制度，定期进行分析研判，做到月安排、季督导、年中查、年底评。有效地推动了工作落实。</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kern w:val="0"/>
          <w:sz w:val="32"/>
          <w:szCs w:val="32"/>
          <w:lang w:val="en-US" w:eastAsia="zh-CN"/>
        </w:rPr>
        <w:t>2、推动工业企业转型升级。</w:t>
      </w:r>
      <w:r>
        <w:rPr>
          <w:rFonts w:hint="eastAsia" w:ascii="仿宋" w:hAnsi="仿宋" w:eastAsia="仿宋" w:cs="仿宋"/>
          <w:sz w:val="32"/>
          <w:szCs w:val="32"/>
          <w:lang w:val="en-US" w:eastAsia="zh-CN"/>
        </w:rPr>
        <w:t>通过专项资金的注入实施打造国际一流的棒线生产基地，加快制造与服务的协同发展，推动商业模式创新和业态创新，使企业由基础制造型向精益制造型、由一般制造型向研发制造型、由传统制造型向智能先进制造型的转型升级。实现钢铁生产管理从传统制造向智能制造转型。</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3、坚持服务至上，深入助力工业企业发展。</w:t>
      </w:r>
      <w:r>
        <w:rPr>
          <w:rFonts w:hint="eastAsia" w:ascii="仿宋" w:hAnsi="仿宋" w:eastAsia="仿宋" w:cs="仿宋"/>
          <w:sz w:val="32"/>
          <w:szCs w:val="32"/>
          <w:lang w:val="en-US" w:eastAsia="zh-CN"/>
        </w:rPr>
        <w:t>将奖励资金发挥最大化，扩大原材料采购渠道，将企业做大做强，优化全县废钢铁加工行业的合理布局，废钢行业跟随国家绿色发展的目标，更好的支持、服务于当地经济的建设，更好、更优地提高当地人员就业及保障。</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4、强化运行监测。</w:t>
      </w:r>
      <w:r>
        <w:rPr>
          <w:rFonts w:hint="eastAsia" w:ascii="仿宋" w:hAnsi="仿宋" w:eastAsia="仿宋" w:cs="仿宋"/>
          <w:sz w:val="32"/>
          <w:szCs w:val="32"/>
          <w:lang w:val="en-US" w:eastAsia="zh-CN"/>
        </w:rPr>
        <w:t>努力推动工业经济平稳运行，加大山西立恒钢铁集团股份有限公司2020年及以后每一年营业收入中对科技研发费用的投入力度，提升企业综合竞争力。</w:t>
      </w:r>
    </w:p>
    <w:p>
      <w:pPr>
        <w:pStyle w:val="2"/>
        <w:rPr>
          <w:rFonts w:hint="eastAsia"/>
          <w:lang w:val="en-US" w:eastAsia="zh-CN"/>
        </w:rPr>
      </w:pPr>
      <w:r>
        <w:rPr>
          <w:rFonts w:hint="eastAsia" w:ascii="仿宋" w:hAnsi="仿宋" w:eastAsia="仿宋" w:cs="仿宋"/>
          <w:b/>
          <w:bCs/>
          <w:sz w:val="32"/>
          <w:szCs w:val="32"/>
          <w:lang w:val="en-US" w:eastAsia="zh-CN"/>
        </w:rPr>
        <w:t>5、优化营商环境。</w:t>
      </w:r>
      <w:r>
        <w:rPr>
          <w:rFonts w:hint="eastAsia" w:ascii="仿宋" w:hAnsi="仿宋" w:eastAsia="仿宋" w:cs="仿宋"/>
          <w:sz w:val="32"/>
          <w:szCs w:val="32"/>
          <w:lang w:val="en-US" w:eastAsia="zh-CN"/>
        </w:rPr>
        <w:t>更好的完成社零指标任务，鼓励企业入统。</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六、主要经验及做法、存在问题和建议</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（一）存在的问题</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总体来看，2021年我</w:t>
      </w:r>
      <w:r>
        <w:rPr>
          <w:rFonts w:hint="eastAsia" w:ascii="仿宋" w:hAnsi="仿宋" w:eastAsia="仿宋" w:cs="仿宋"/>
          <w:bCs/>
          <w:kern w:val="0"/>
          <w:sz w:val="32"/>
          <w:szCs w:val="32"/>
          <w:lang w:val="en-US" w:eastAsia="zh-CN"/>
        </w:rPr>
        <w:t>局预算绩效</w:t>
      </w:r>
      <w:r>
        <w:rPr>
          <w:rFonts w:hint="eastAsia" w:ascii="仿宋" w:hAnsi="仿宋" w:eastAsia="仿宋" w:cs="仿宋"/>
          <w:bCs/>
          <w:kern w:val="0"/>
          <w:sz w:val="32"/>
          <w:szCs w:val="32"/>
        </w:rPr>
        <w:t>各项工作进展顺利，积极的财政政策得到较好的落实，财政各项工作得到进一步规范。目前，我</w:t>
      </w:r>
      <w:r>
        <w:rPr>
          <w:rFonts w:hint="eastAsia" w:ascii="仿宋" w:hAnsi="仿宋" w:eastAsia="仿宋" w:cs="仿宋"/>
          <w:bCs/>
          <w:kern w:val="0"/>
          <w:sz w:val="32"/>
          <w:szCs w:val="32"/>
          <w:lang w:val="en-US" w:eastAsia="zh-CN"/>
        </w:rPr>
        <w:t>局预算绩效</w:t>
      </w:r>
      <w:r>
        <w:rPr>
          <w:rFonts w:hint="eastAsia" w:ascii="仿宋" w:hAnsi="仿宋" w:eastAsia="仿宋" w:cs="仿宋"/>
          <w:bCs/>
          <w:kern w:val="0"/>
          <w:sz w:val="32"/>
          <w:szCs w:val="32"/>
        </w:rPr>
        <w:t>运行中仍然存在一些问题，主要表现在：财政精细化管理有待提高，财政资金使用监管制度还需要进一步健全，绩效评价和监督工作还需进一步强化，</w:t>
      </w:r>
      <w:r>
        <w:rPr>
          <w:rFonts w:hint="eastAsia" w:ascii="仿宋" w:hAnsi="仿宋" w:eastAsia="仿宋" w:cs="仿宋"/>
          <w:bCs/>
          <w:kern w:val="0"/>
          <w:sz w:val="32"/>
          <w:szCs w:val="32"/>
          <w:lang w:val="en-US" w:eastAsia="zh-CN"/>
        </w:rPr>
        <w:t>财务</w:t>
      </w:r>
      <w:r>
        <w:rPr>
          <w:rFonts w:hint="eastAsia" w:ascii="仿宋" w:hAnsi="仿宋" w:eastAsia="仿宋" w:cs="仿宋"/>
          <w:bCs/>
          <w:kern w:val="0"/>
          <w:sz w:val="32"/>
          <w:szCs w:val="32"/>
        </w:rPr>
        <w:t>工作人员的服务意识和业务水平需进一步提高等。这些问题，我们将认真研究，采取有效措施，努力加以解决。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1、预算不够明确和细化，预算编制的合理性不够。预算执行力度还要进一步加强。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2、预算编制的前瞻度不够,对当年度新情况、新问题加强前瞻性、针对性研究不多，预算和实际支出调整较大。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3、财务管理水平有待提高。财务工作按部就班，缺乏创新，在精度和深度上欠缺，还需要进一步完善。</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4、内部管理相关制度虽已建立，但管理上较为粗糙，部分未实际落实到位。</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(三）建议和改进措施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细化预算编制工作，将进一步重视预算的编制工作，加强单位内部机构的预算管理意识，科学规划预算编制的精确度，提高财政资金使用效率，加强内部预算编制的审核和预算控制指标的下达，尽量减少预算资金的调整、结转和结余的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议财政部门加强对各单位财务人员队伍建设的重视，加强对财务人员做好各项财务工作的指导和培训，尤其是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3、进一步完善和落实相关管理制度，全员加强学习内部控制管理制度，严格遵照相关制度贯彻落实到位，做到精细化管理。</w:t>
      </w:r>
    </w:p>
    <w:p>
      <w:pPr>
        <w:pStyle w:val="2"/>
        <w:numPr>
          <w:ilvl w:val="0"/>
          <w:numId w:val="0"/>
        </w:numPr>
        <w:ind w:leftChars="0"/>
        <w:rPr>
          <w:rFonts w:hint="eastAsia"/>
          <w:lang w:val="en-US" w:eastAsia="zh-CN"/>
        </w:rPr>
      </w:pP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七、相关附件</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numPr>
          <w:ilvl w:val="0"/>
          <w:numId w:val="0"/>
        </w:numPr>
        <w:ind w:leftChars="0"/>
        <w:rPr>
          <w:rFonts w:hint="eastAsia" w:ascii="Calibri" w:hAnsi="Calibri" w:cs="Calibri"/>
          <w:lang w:val="en-US" w:eastAsia="zh-CN"/>
        </w:rPr>
      </w:pPr>
    </w:p>
    <w:p>
      <w:pPr>
        <w:numPr>
          <w:ilvl w:val="0"/>
          <w:numId w:val="0"/>
        </w:numPr>
        <w:ind w:leftChars="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9991E"/>
    <w:multiLevelType w:val="singleLevel"/>
    <w:tmpl w:val="98B9991E"/>
    <w:lvl w:ilvl="0" w:tentative="0">
      <w:start w:val="1"/>
      <w:numFmt w:val="chineseCounting"/>
      <w:suff w:val="nothing"/>
      <w:lvlText w:val="（%1）"/>
      <w:lvlJc w:val="left"/>
      <w:rPr>
        <w:rFonts w:hint="eastAsia"/>
      </w:rPr>
    </w:lvl>
  </w:abstractNum>
  <w:abstractNum w:abstractNumId="1">
    <w:nsid w:val="052CB218"/>
    <w:multiLevelType w:val="singleLevel"/>
    <w:tmpl w:val="052CB218"/>
    <w:lvl w:ilvl="0" w:tentative="0">
      <w:start w:val="1"/>
      <w:numFmt w:val="decimal"/>
      <w:suff w:val="nothing"/>
      <w:lvlText w:val="%1、"/>
      <w:lvlJc w:val="left"/>
      <w:pPr>
        <w:ind w:left="-12"/>
      </w:pPr>
    </w:lvl>
  </w:abstractNum>
  <w:abstractNum w:abstractNumId="2">
    <w:nsid w:val="1C787CD4"/>
    <w:multiLevelType w:val="singleLevel"/>
    <w:tmpl w:val="1C787CD4"/>
    <w:lvl w:ilvl="0" w:tentative="0">
      <w:start w:val="2"/>
      <w:numFmt w:val="chineseCounting"/>
      <w:suff w:val="nothing"/>
      <w:lvlText w:val="（%1）"/>
      <w:lvlJc w:val="left"/>
      <w:rPr>
        <w:rFonts w:hint="eastAsia"/>
      </w:rPr>
    </w:lvl>
  </w:abstractNum>
  <w:abstractNum w:abstractNumId="3">
    <w:nsid w:val="5FAF1B18"/>
    <w:multiLevelType w:val="singleLevel"/>
    <w:tmpl w:val="5FAF1B18"/>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Mjk4NTI1MzljMGU3YjA5ZDI3NzUyODAxZjA3YmEifQ=="/>
  </w:docVars>
  <w:rsids>
    <w:rsidRoot w:val="50DB2935"/>
    <w:rsid w:val="05370C0F"/>
    <w:rsid w:val="053A3164"/>
    <w:rsid w:val="06D80E87"/>
    <w:rsid w:val="0A2D11CA"/>
    <w:rsid w:val="0A4A209B"/>
    <w:rsid w:val="0AD62418"/>
    <w:rsid w:val="0B8A4966"/>
    <w:rsid w:val="0DA137EC"/>
    <w:rsid w:val="0FA77648"/>
    <w:rsid w:val="10A177C6"/>
    <w:rsid w:val="156264EB"/>
    <w:rsid w:val="18893D8F"/>
    <w:rsid w:val="1A4A22D5"/>
    <w:rsid w:val="20C067BC"/>
    <w:rsid w:val="23A61C99"/>
    <w:rsid w:val="23A8519D"/>
    <w:rsid w:val="23DC390D"/>
    <w:rsid w:val="255011E3"/>
    <w:rsid w:val="25F34F3E"/>
    <w:rsid w:val="26D02077"/>
    <w:rsid w:val="276500BD"/>
    <w:rsid w:val="28CF6613"/>
    <w:rsid w:val="29477A7A"/>
    <w:rsid w:val="2A65607B"/>
    <w:rsid w:val="2E87001F"/>
    <w:rsid w:val="2FC93954"/>
    <w:rsid w:val="305A7622"/>
    <w:rsid w:val="3075341F"/>
    <w:rsid w:val="342D3D10"/>
    <w:rsid w:val="34E73EBF"/>
    <w:rsid w:val="37490E61"/>
    <w:rsid w:val="394314CC"/>
    <w:rsid w:val="3AE940C5"/>
    <w:rsid w:val="3E0D0E3B"/>
    <w:rsid w:val="3F312907"/>
    <w:rsid w:val="41605725"/>
    <w:rsid w:val="426B5934"/>
    <w:rsid w:val="42F025B9"/>
    <w:rsid w:val="42F17811"/>
    <w:rsid w:val="46C9661A"/>
    <w:rsid w:val="47884E75"/>
    <w:rsid w:val="484A4A39"/>
    <w:rsid w:val="49530E14"/>
    <w:rsid w:val="4A9C04FA"/>
    <w:rsid w:val="4B386DCB"/>
    <w:rsid w:val="4D037660"/>
    <w:rsid w:val="4D37014A"/>
    <w:rsid w:val="4D7C65EA"/>
    <w:rsid w:val="4F09574C"/>
    <w:rsid w:val="5015592D"/>
    <w:rsid w:val="50853A76"/>
    <w:rsid w:val="50DB2935"/>
    <w:rsid w:val="513D513B"/>
    <w:rsid w:val="51CC3676"/>
    <w:rsid w:val="583059FA"/>
    <w:rsid w:val="59C56616"/>
    <w:rsid w:val="5A766D0D"/>
    <w:rsid w:val="5A8A41C4"/>
    <w:rsid w:val="5C07081F"/>
    <w:rsid w:val="5E631F59"/>
    <w:rsid w:val="5E6571F3"/>
    <w:rsid w:val="6252656D"/>
    <w:rsid w:val="62854B94"/>
    <w:rsid w:val="63350368"/>
    <w:rsid w:val="67065B78"/>
    <w:rsid w:val="67FF7197"/>
    <w:rsid w:val="68882CE8"/>
    <w:rsid w:val="6A837C0B"/>
    <w:rsid w:val="6B170353"/>
    <w:rsid w:val="6CAB169B"/>
    <w:rsid w:val="6D5B797D"/>
    <w:rsid w:val="6D747D72"/>
    <w:rsid w:val="7219155B"/>
    <w:rsid w:val="72A921D9"/>
    <w:rsid w:val="731C6E4F"/>
    <w:rsid w:val="74C94DB4"/>
    <w:rsid w:val="759423A8"/>
    <w:rsid w:val="763B3A90"/>
    <w:rsid w:val="76A74C81"/>
    <w:rsid w:val="77764653"/>
    <w:rsid w:val="79983241"/>
    <w:rsid w:val="7A715CD2"/>
    <w:rsid w:val="7B8F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next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5358</Words>
  <Characters>5534</Characters>
  <Lines>0</Lines>
  <Paragraphs>0</Paragraphs>
  <TotalTime>23</TotalTime>
  <ScaleCrop>false</ScaleCrop>
  <LinksUpToDate>false</LinksUpToDate>
  <CharactersWithSpaces>5542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2020-03-26T09:14:00Z</dcterms:created>
  <dc:creator>监察室1</dc:creator>
  <cp:lastModifiedBy>hp</cp:lastModifiedBy>
  <dcterms:modified xsi:type="dcterms:W3CDTF">2022-09-13T02:35:49Z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DE488B25228C43DBB7A34958371C7395</vt:lpwstr>
  </property>
</Properties>
</file>