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曲沃县里村镇人民政府2021年整体绩效</w:t>
      </w:r>
    </w:p>
    <w:p>
      <w:pPr>
        <w:keepNext w:val="0"/>
        <w:keepLines w:val="0"/>
        <w:pageBreakBefore w:val="0"/>
        <w:kinsoku/>
        <w:wordWrap/>
        <w:overflowPunct/>
        <w:topLinePunct w:val="0"/>
        <w:autoSpaceDE/>
        <w:autoSpaceDN/>
        <w:bidi w:val="0"/>
        <w:adjustRightInd/>
        <w:snapToGrid/>
        <w:spacing w:line="620" w:lineRule="exact"/>
        <w:jc w:val="center"/>
        <w:rPr>
          <w:rFonts w:hint="eastAsia" w:ascii="黑体" w:hAnsi="黑体" w:eastAsia="黑体" w:cs="黑体"/>
          <w:sz w:val="44"/>
          <w:szCs w:val="44"/>
          <w:lang w:val="en-US" w:eastAsia="zh-CN"/>
        </w:rPr>
      </w:pPr>
      <w:r>
        <w:rPr>
          <w:rFonts w:hint="eastAsia" w:ascii="宋体" w:hAnsi="宋体" w:eastAsia="宋体" w:cs="宋体"/>
          <w:b/>
          <w:bCs/>
          <w:sz w:val="44"/>
          <w:szCs w:val="44"/>
          <w:lang w:val="en-US" w:eastAsia="zh-CN"/>
        </w:rPr>
        <w:t>自 评 报 告</w:t>
      </w:r>
    </w:p>
    <w:p>
      <w:pPr>
        <w:keepNext w:val="0"/>
        <w:keepLines w:val="0"/>
        <w:pageBreakBefore w:val="0"/>
        <w:kinsoku/>
        <w:wordWrap/>
        <w:overflowPunct/>
        <w:topLinePunct w:val="0"/>
        <w:autoSpaceDE/>
        <w:autoSpaceDN/>
        <w:bidi w:val="0"/>
        <w:adjustRightInd/>
        <w:snapToGrid/>
        <w:spacing w:line="620" w:lineRule="exact"/>
        <w:ind w:firstLine="3960" w:firstLineChars="900"/>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6" w:afterAutospacing="0" w:line="620" w:lineRule="exac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根据《曲沃县财政局关于开展县级财政支出绩效评价工作的通知》文件的要求，秉着独立、客观、公正的原则，根据设定的绩效目标，运用科学、合理的绩效评价指标、评价标准和评价方法，对整体支出的绩效目标完成情况、产出与效果、预算管理水平等进行绩效评价。现将绩效评价结果报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firstLine="157"/>
        <w:jc w:val="left"/>
      </w:pPr>
      <w:r>
        <w:rPr>
          <w:rFonts w:hint="eastAsia" w:ascii="仿宋" w:hAnsi="仿宋" w:eastAsia="仿宋" w:cs="仿宋"/>
          <w:b/>
          <w:bCs/>
          <w:i w:val="0"/>
          <w:iCs w:val="0"/>
          <w:caps w:val="0"/>
          <w:color w:val="1E1E1E"/>
          <w:spacing w:val="0"/>
          <w:kern w:val="0"/>
          <w:sz w:val="32"/>
          <w:szCs w:val="32"/>
          <w:lang w:val="en-US" w:eastAsia="zh-CN" w:bidi="ar"/>
        </w:rPr>
        <w:t>一、部门概况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firstLine="0"/>
        <w:jc w:val="left"/>
        <w:rPr>
          <w:rFonts w:hint="eastAsia" w:ascii="仿宋" w:hAnsi="仿宋" w:eastAsia="仿宋" w:cs="仿宋"/>
          <w:sz w:val="32"/>
          <w:szCs w:val="32"/>
          <w:lang w:val="en-US" w:eastAsia="zh-CN"/>
        </w:rPr>
      </w:pPr>
      <w:r>
        <w:rPr>
          <w:rFonts w:hint="eastAsia" w:ascii="仿宋" w:hAnsi="仿宋" w:eastAsia="仿宋" w:cs="仿宋"/>
          <w:b/>
          <w:bCs/>
          <w:i w:val="0"/>
          <w:iCs w:val="0"/>
          <w:caps w:val="0"/>
          <w:color w:val="1E1E1E"/>
          <w:spacing w:val="0"/>
          <w:kern w:val="0"/>
          <w:sz w:val="32"/>
          <w:szCs w:val="32"/>
          <w:lang w:val="en-US" w:eastAsia="zh-CN" w:bidi="ar"/>
        </w:rPr>
        <w:t>（一）部门基本情况</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曲沃县里村镇人民政府是正科级机构建制。全镇总面积</w:t>
      </w:r>
      <w:r>
        <w:rPr>
          <w:rFonts w:hint="eastAsia" w:ascii="仿宋" w:hAnsi="仿宋" w:eastAsia="仿宋" w:cs="仿宋"/>
          <w:sz w:val="32"/>
          <w:szCs w:val="32"/>
          <w:lang w:eastAsia="zh-CN"/>
        </w:rPr>
        <w:t>约</w:t>
      </w:r>
      <w:r>
        <w:rPr>
          <w:rFonts w:hint="eastAsia" w:ascii="仿宋" w:hAnsi="仿宋" w:eastAsia="仿宋" w:cs="仿宋"/>
          <w:sz w:val="32"/>
          <w:szCs w:val="32"/>
        </w:rPr>
        <w:t>48平方公里，辖1</w:t>
      </w:r>
      <w:r>
        <w:rPr>
          <w:rFonts w:hint="eastAsia" w:ascii="仿宋" w:hAnsi="仿宋" w:eastAsia="仿宋" w:cs="仿宋"/>
          <w:sz w:val="32"/>
          <w:szCs w:val="32"/>
          <w:lang w:val="en-US" w:eastAsia="zh-CN"/>
        </w:rPr>
        <w:t>3</w:t>
      </w:r>
      <w:r>
        <w:rPr>
          <w:rFonts w:hint="eastAsia" w:ascii="仿宋" w:hAnsi="仿宋" w:eastAsia="仿宋" w:cs="仿宋"/>
          <w:sz w:val="32"/>
          <w:szCs w:val="32"/>
        </w:rPr>
        <w:t>个行政村，有66个村民小组、4000余户、18</w:t>
      </w:r>
      <w:r>
        <w:rPr>
          <w:rFonts w:hint="eastAsia" w:ascii="仿宋" w:hAnsi="仿宋" w:eastAsia="仿宋" w:cs="仿宋"/>
          <w:sz w:val="32"/>
          <w:szCs w:val="32"/>
          <w:lang w:val="en-US" w:eastAsia="zh-CN"/>
        </w:rPr>
        <w:t>440</w:t>
      </w:r>
      <w:r>
        <w:rPr>
          <w:rFonts w:hint="eastAsia" w:ascii="仿宋" w:hAnsi="仿宋" w:eastAsia="仿宋" w:cs="仿宋"/>
          <w:sz w:val="32"/>
          <w:szCs w:val="32"/>
        </w:rPr>
        <w:t>人。镇政府驻里村村。</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本部门内设机构包括：</w:t>
      </w:r>
      <w:r>
        <w:rPr>
          <w:rFonts w:hint="eastAsia" w:ascii="仿宋_GB2312" w:hAnsi="仿宋" w:eastAsia="仿宋_GB2312"/>
          <w:sz w:val="32"/>
          <w:szCs w:val="32"/>
          <w:lang w:val="en-US" w:eastAsia="zh-CN"/>
        </w:rPr>
        <w:t>党政综合</w:t>
      </w:r>
      <w:r>
        <w:rPr>
          <w:rFonts w:hint="eastAsia" w:ascii="仿宋_GB2312" w:hAnsi="仿宋" w:eastAsia="仿宋_GB2312"/>
          <w:sz w:val="32"/>
          <w:szCs w:val="32"/>
        </w:rPr>
        <w:t>办公室、</w:t>
      </w:r>
      <w:r>
        <w:rPr>
          <w:rFonts w:hint="eastAsia" w:ascii="仿宋_GB2312" w:hAnsi="仿宋" w:eastAsia="仿宋_GB2312"/>
          <w:sz w:val="32"/>
          <w:szCs w:val="32"/>
          <w:lang w:eastAsia="zh-CN"/>
        </w:rPr>
        <w:t>经济发展办公室</w:t>
      </w:r>
      <w:r>
        <w:rPr>
          <w:rFonts w:hint="eastAsia" w:ascii="仿宋_GB2312" w:hAnsi="仿宋" w:eastAsia="仿宋_GB2312"/>
          <w:sz w:val="32"/>
          <w:szCs w:val="32"/>
        </w:rPr>
        <w:t>、</w:t>
      </w:r>
      <w:r>
        <w:rPr>
          <w:rFonts w:hint="eastAsia" w:ascii="仿宋_GB2312" w:hAnsi="仿宋" w:eastAsia="仿宋_GB2312"/>
          <w:sz w:val="32"/>
          <w:szCs w:val="32"/>
          <w:lang w:eastAsia="zh-CN"/>
        </w:rPr>
        <w:t>综合行政执法办公室</w:t>
      </w:r>
      <w:r>
        <w:rPr>
          <w:rFonts w:hint="eastAsia" w:ascii="仿宋_GB2312" w:hAnsi="仿宋" w:eastAsia="仿宋_GB2312"/>
          <w:sz w:val="32"/>
          <w:szCs w:val="32"/>
        </w:rPr>
        <w:t>、</w:t>
      </w:r>
      <w:r>
        <w:rPr>
          <w:rFonts w:hint="eastAsia" w:ascii="仿宋_GB2312" w:hAnsi="仿宋" w:eastAsia="仿宋_GB2312"/>
          <w:sz w:val="32"/>
          <w:szCs w:val="32"/>
          <w:lang w:eastAsia="zh-CN"/>
        </w:rPr>
        <w:t>规划建设办公室</w:t>
      </w:r>
      <w:r>
        <w:rPr>
          <w:rFonts w:hint="eastAsia" w:ascii="仿宋_GB2312" w:hAnsi="仿宋" w:eastAsia="仿宋_GB2312"/>
          <w:sz w:val="32"/>
          <w:szCs w:val="32"/>
        </w:rPr>
        <w:t>、社</w:t>
      </w:r>
      <w:r>
        <w:rPr>
          <w:rFonts w:hint="eastAsia" w:ascii="仿宋_GB2312" w:hAnsi="仿宋" w:eastAsia="仿宋_GB2312"/>
          <w:sz w:val="32"/>
          <w:szCs w:val="32"/>
          <w:lang w:eastAsia="zh-CN"/>
        </w:rPr>
        <w:t>会事务管理办公室</w:t>
      </w:r>
      <w:r>
        <w:rPr>
          <w:rFonts w:hint="eastAsia" w:ascii="仿宋_GB2312" w:hAnsi="仿宋" w:eastAsia="仿宋_GB2312"/>
          <w:sz w:val="32"/>
          <w:szCs w:val="32"/>
        </w:rPr>
        <w:t>、共</w:t>
      </w:r>
      <w:r>
        <w:rPr>
          <w:rFonts w:hint="eastAsia" w:ascii="仿宋_GB2312" w:hAnsi="仿宋" w:eastAsia="仿宋_GB2312"/>
          <w:sz w:val="32"/>
          <w:szCs w:val="32"/>
          <w:lang w:val="en-US" w:eastAsia="zh-CN"/>
        </w:rPr>
        <w:t>6</w:t>
      </w:r>
      <w:r>
        <w:rPr>
          <w:rFonts w:hint="eastAsia" w:ascii="仿宋_GB2312" w:hAnsi="仿宋" w:eastAsia="仿宋_GB2312"/>
          <w:sz w:val="32"/>
          <w:szCs w:val="32"/>
        </w:rPr>
        <w:t>个股室。下</w:t>
      </w:r>
      <w:r>
        <w:rPr>
          <w:rFonts w:hint="eastAsia" w:ascii="仿宋_GB2312" w:hAnsi="仿宋" w:eastAsia="仿宋_GB2312"/>
          <w:sz w:val="32"/>
          <w:szCs w:val="32"/>
          <w:lang w:eastAsia="zh-CN"/>
        </w:rPr>
        <w:t>设三个</w:t>
      </w:r>
      <w:r>
        <w:rPr>
          <w:rFonts w:hint="eastAsia" w:ascii="仿宋_GB2312" w:hAnsi="仿宋" w:eastAsia="仿宋_GB2312"/>
          <w:sz w:val="32"/>
          <w:szCs w:val="32"/>
        </w:rPr>
        <w:t>全额事业单位：</w:t>
      </w:r>
      <w:r>
        <w:rPr>
          <w:rFonts w:hint="eastAsia" w:ascii="仿宋_GB2312" w:hAnsi="仿宋" w:eastAsia="仿宋_GB2312"/>
          <w:sz w:val="32"/>
          <w:szCs w:val="32"/>
          <w:lang w:eastAsia="zh-CN"/>
        </w:rPr>
        <w:t>综合便民服务中心、党群服务中心、里村镇退役军人服务保障工作站。</w:t>
      </w:r>
    </w:p>
    <w:p>
      <w:pPr>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rPr>
          <w:rFonts w:hint="eastAsia" w:ascii="仿宋" w:hAnsi="仿宋" w:eastAsia="仿宋" w:cs="仿宋"/>
          <w:b/>
          <w:bCs/>
          <w:sz w:val="32"/>
          <w:szCs w:val="32"/>
          <w:lang w:val="en-US" w:eastAsia="zh-CN"/>
        </w:rPr>
      </w:pPr>
      <w:r>
        <w:rPr>
          <w:rFonts w:hint="eastAsia" w:ascii="仿宋" w:hAnsi="仿宋" w:eastAsia="仿宋" w:cs="仿宋"/>
          <w:sz w:val="32"/>
          <w:szCs w:val="32"/>
          <w:lang w:eastAsia="zh-CN"/>
        </w:rPr>
        <w:t>核定</w:t>
      </w:r>
      <w:r>
        <w:rPr>
          <w:rFonts w:hint="eastAsia" w:ascii="仿宋" w:hAnsi="仿宋" w:eastAsia="仿宋" w:cs="仿宋"/>
          <w:sz w:val="32"/>
          <w:szCs w:val="32"/>
        </w:rPr>
        <w:t>行政编制26 名，实有人数</w:t>
      </w:r>
      <w:r>
        <w:rPr>
          <w:rFonts w:hint="eastAsia" w:ascii="仿宋" w:hAnsi="仿宋" w:eastAsia="仿宋" w:cs="仿宋"/>
          <w:sz w:val="32"/>
          <w:szCs w:val="32"/>
          <w:lang w:val="en-US" w:eastAsia="zh-CN"/>
        </w:rPr>
        <w:t>21</w:t>
      </w:r>
      <w:r>
        <w:rPr>
          <w:rFonts w:hint="eastAsia" w:ascii="仿宋" w:hAnsi="仿宋" w:eastAsia="仿宋" w:cs="仿宋"/>
          <w:sz w:val="32"/>
          <w:szCs w:val="32"/>
        </w:rPr>
        <w:t>人，其中领导职数</w:t>
      </w:r>
      <w:r>
        <w:rPr>
          <w:rFonts w:hint="eastAsia" w:ascii="仿宋" w:hAnsi="仿宋" w:eastAsia="仿宋" w:cs="仿宋"/>
          <w:sz w:val="32"/>
          <w:szCs w:val="32"/>
          <w:lang w:val="en-US" w:eastAsia="zh-CN"/>
        </w:rPr>
        <w:t>11</w:t>
      </w:r>
      <w:r>
        <w:rPr>
          <w:rFonts w:hint="eastAsia" w:ascii="仿宋" w:hAnsi="仿宋" w:eastAsia="仿宋" w:cs="仿宋"/>
          <w:sz w:val="32"/>
          <w:szCs w:val="32"/>
        </w:rPr>
        <w:t>人;事业编制</w:t>
      </w:r>
      <w:r>
        <w:rPr>
          <w:rFonts w:hint="eastAsia" w:ascii="仿宋" w:hAnsi="仿宋" w:eastAsia="仿宋" w:cs="仿宋"/>
          <w:sz w:val="32"/>
          <w:szCs w:val="32"/>
          <w:lang w:val="en-US" w:eastAsia="zh-CN"/>
        </w:rPr>
        <w:t>29</w:t>
      </w:r>
      <w:r>
        <w:rPr>
          <w:rFonts w:hint="eastAsia" w:ascii="仿宋" w:hAnsi="仿宋" w:eastAsia="仿宋" w:cs="仿宋"/>
          <w:sz w:val="32"/>
          <w:szCs w:val="32"/>
        </w:rPr>
        <w:t>人，实有人数</w:t>
      </w:r>
      <w:r>
        <w:rPr>
          <w:rFonts w:hint="eastAsia" w:ascii="仿宋" w:hAnsi="仿宋" w:eastAsia="仿宋" w:cs="仿宋"/>
          <w:sz w:val="32"/>
          <w:szCs w:val="32"/>
          <w:lang w:val="en-US" w:eastAsia="zh-CN"/>
        </w:rPr>
        <w:t>25</w:t>
      </w:r>
      <w:r>
        <w:rPr>
          <w:rFonts w:hint="eastAsia" w:ascii="仿宋" w:hAnsi="仿宋" w:eastAsia="仿宋" w:cs="仿宋"/>
          <w:sz w:val="32"/>
          <w:szCs w:val="32"/>
        </w:rPr>
        <w:t>人。在编车辆2辆</w:t>
      </w:r>
      <w:r>
        <w:rPr>
          <w:rFonts w:hint="eastAsia" w:ascii="仿宋" w:hAnsi="仿宋" w:eastAsia="仿宋" w:cs="仿宋"/>
          <w:sz w:val="32"/>
          <w:szCs w:val="32"/>
          <w:lang w:eastAsia="zh-CN"/>
        </w:rPr>
        <w:t>，实有公务用车</w:t>
      </w:r>
      <w:r>
        <w:rPr>
          <w:rFonts w:hint="eastAsia" w:ascii="仿宋" w:hAnsi="仿宋" w:eastAsia="仿宋" w:cs="仿宋"/>
          <w:sz w:val="32"/>
          <w:szCs w:val="32"/>
          <w:lang w:val="en-US" w:eastAsia="zh-CN"/>
        </w:rPr>
        <w:t>2辆</w:t>
      </w:r>
      <w:r>
        <w:rPr>
          <w:rFonts w:hint="eastAsia" w:ascii="仿宋" w:hAnsi="仿宋" w:eastAsia="仿宋" w:cs="仿宋"/>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firstLine="0"/>
        <w:jc w:val="left"/>
        <w:rPr>
          <w:rFonts w:hint="eastAsia" w:ascii="仿宋" w:hAnsi="仿宋" w:eastAsia="仿宋" w:cs="仿宋"/>
          <w:b/>
          <w:bCs/>
          <w:i w:val="0"/>
          <w:iCs w:val="0"/>
          <w:caps w:val="0"/>
          <w:color w:val="1E1E1E"/>
          <w:spacing w:val="0"/>
          <w:kern w:val="0"/>
          <w:sz w:val="32"/>
          <w:szCs w:val="32"/>
          <w:lang w:val="en-US" w:eastAsia="zh-CN" w:bidi="ar"/>
        </w:rPr>
      </w:pPr>
      <w:r>
        <w:rPr>
          <w:rFonts w:hint="eastAsia" w:ascii="仿宋" w:hAnsi="仿宋" w:eastAsia="仿宋" w:cs="仿宋"/>
          <w:b/>
          <w:bCs/>
          <w:i w:val="0"/>
          <w:iCs w:val="0"/>
          <w:caps w:val="0"/>
          <w:color w:val="1E1E1E"/>
          <w:spacing w:val="0"/>
          <w:kern w:val="0"/>
          <w:sz w:val="32"/>
          <w:szCs w:val="32"/>
          <w:lang w:val="en-US" w:eastAsia="zh-CN" w:bidi="ar"/>
        </w:rPr>
        <w:t>（二）主要职能</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是促进经济发展，增加农民收入。宣传、贯彻、落实党的强农惠农政策，维护农村基本经营制度；指导农民专业合作社发展，推进农村市场经济体系建设；组织开展农业基础设施建设，指导农民抓好粮食生产，提高农业综合生产能力和农产品质量安全水平；做好农村土地规划和土地承包管理、农民负担监督管理、农村集体资产财务管理，推动农村经济结构调整；为农民提供科普培训、技术技能培训和市场信息服务，帮助农民多渠道转移就业，促进农民增收</w:t>
      </w:r>
      <w:r>
        <w:rPr>
          <w:rFonts w:hint="eastAsia" w:ascii="仿宋" w:hAnsi="仿宋" w:eastAsia="仿宋" w:cs="仿宋"/>
          <w:sz w:val="32"/>
          <w:szCs w:val="32"/>
          <w:lang w:eastAsia="zh-CN"/>
        </w:rPr>
        <w:t>；加大乡村振兴政策推行力度，建设和谐美丽宜居新农村</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是强化公共服务，着力改善民生。发展农村社会公益事业，搞好农村义务教育、公共卫生事业；指导村镇规划与建设，改善农村人畜饮水、道路等基础设施；落实计划生育基本国策，提高农村人口素质；指导农村文化体育活动，丰富农民业余生活；及时上报和积极处置重大社情、疫情和险情，组织抢险救灾、优抚救助、扶贫救济。</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是加强社会管理，维护农村稳定。加强社会治安综合治理，保障农民合法权益；积极开展普法教育，增强农民法制意识；及时处理来信来访，了解上报社情民意；积极开展民事调解，排查化解矛盾纠纷，确保农村社会稳定。</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是推进基层民主，促进农村和谐。加强农村党的基层组织建设，巩固党在农村的执政地位；组织好村民委员会换届选举，指导村民自治，推进农村社区建设；完善民主议事制度，推进村务公开，引导农民有序参与村级事务管理；促进社会组织健康发展，增强社会自治功能。此外，还要做好安全生产、环境保护等有关方面的工作。</w:t>
      </w:r>
    </w:p>
    <w:p>
      <w:pPr>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五是完成县委、县政府交办的其他工作任务。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firstLine="0"/>
        <w:jc w:val="left"/>
        <w:rPr>
          <w:rFonts w:hint="eastAsia" w:ascii="仿宋" w:hAnsi="仿宋" w:eastAsia="仿宋" w:cs="仿宋"/>
          <w:b/>
          <w:bCs/>
          <w:i w:val="0"/>
          <w:iCs w:val="0"/>
          <w:caps w:val="0"/>
          <w:color w:val="1E1E1E"/>
          <w:spacing w:val="0"/>
          <w:kern w:val="0"/>
          <w:sz w:val="32"/>
          <w:szCs w:val="32"/>
          <w:lang w:val="en-US" w:eastAsia="zh-CN" w:bidi="ar"/>
        </w:rPr>
      </w:pPr>
      <w:r>
        <w:rPr>
          <w:rFonts w:hint="eastAsia" w:ascii="仿宋" w:hAnsi="仿宋" w:eastAsia="仿宋" w:cs="仿宋"/>
          <w:b/>
          <w:bCs/>
          <w:i w:val="0"/>
          <w:iCs w:val="0"/>
          <w:caps w:val="0"/>
          <w:color w:val="1E1E1E"/>
          <w:spacing w:val="0"/>
          <w:kern w:val="0"/>
          <w:sz w:val="32"/>
          <w:szCs w:val="32"/>
          <w:lang w:val="en-US" w:eastAsia="zh-CN" w:bidi="ar"/>
        </w:rPr>
        <w:t>（三）2021年度工作计划</w:t>
      </w:r>
    </w:p>
    <w:p>
      <w:pPr>
        <w:keepNext w:val="0"/>
        <w:keepLines w:val="0"/>
        <w:pageBreakBefore w:val="0"/>
        <w:kinsoku/>
        <w:wordWrap/>
        <w:overflowPunct/>
        <w:topLinePunct w:val="0"/>
        <w:autoSpaceDE/>
        <w:autoSpaceDN/>
        <w:bidi w:val="0"/>
        <w:adjustRightInd/>
        <w:snapToGrid/>
        <w:spacing w:line="620" w:lineRule="exact"/>
        <w:ind w:firstLine="620" w:firstLineChars="200"/>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2021</w:t>
      </w:r>
      <w:r>
        <w:rPr>
          <w:rFonts w:ascii="仿宋_GB2312" w:hAnsi="仿宋_GB2312" w:eastAsia="仿宋_GB2312" w:cs="仿宋_GB2312"/>
          <w:color w:val="000000"/>
          <w:kern w:val="0"/>
          <w:sz w:val="31"/>
          <w:szCs w:val="31"/>
          <w:lang w:val="en-US" w:eastAsia="zh-CN" w:bidi="ar"/>
        </w:rPr>
        <w:t>年</w:t>
      </w:r>
      <w:r>
        <w:rPr>
          <w:rFonts w:hint="eastAsia" w:ascii="仿宋_GB2312" w:hAnsi="仿宋_GB2312" w:eastAsia="仿宋_GB2312" w:cs="仿宋_GB2312"/>
          <w:color w:val="000000"/>
          <w:kern w:val="0"/>
          <w:sz w:val="31"/>
          <w:szCs w:val="31"/>
          <w:lang w:val="en-US" w:eastAsia="zh-CN" w:bidi="ar"/>
        </w:rPr>
        <w:t>本部门</w:t>
      </w:r>
      <w:r>
        <w:rPr>
          <w:rFonts w:ascii="仿宋_GB2312" w:hAnsi="仿宋_GB2312" w:eastAsia="仿宋_GB2312" w:cs="仿宋_GB2312"/>
          <w:color w:val="000000"/>
          <w:kern w:val="0"/>
          <w:sz w:val="31"/>
          <w:szCs w:val="31"/>
          <w:lang w:val="en-US" w:eastAsia="zh-CN" w:bidi="ar"/>
        </w:rPr>
        <w:t>的</w:t>
      </w:r>
      <w:r>
        <w:rPr>
          <w:rFonts w:ascii="黑体" w:hAnsi="宋体" w:eastAsia="黑体" w:cs="黑体"/>
          <w:color w:val="000000"/>
          <w:kern w:val="0"/>
          <w:sz w:val="31"/>
          <w:szCs w:val="31"/>
          <w:lang w:val="en-US" w:eastAsia="zh-CN" w:bidi="ar"/>
        </w:rPr>
        <w:t>主要</w:t>
      </w:r>
      <w:r>
        <w:rPr>
          <w:rFonts w:hint="eastAsia" w:ascii="黑体" w:hAnsi="宋体" w:eastAsia="黑体" w:cs="黑体"/>
          <w:color w:val="000000"/>
          <w:kern w:val="0"/>
          <w:sz w:val="31"/>
          <w:szCs w:val="31"/>
          <w:lang w:val="en-US" w:eastAsia="zh-CN" w:bidi="ar"/>
        </w:rPr>
        <w:t>工作</w:t>
      </w:r>
      <w:r>
        <w:rPr>
          <w:rFonts w:ascii="黑体" w:hAnsi="宋体" w:eastAsia="黑体" w:cs="黑体"/>
          <w:color w:val="000000"/>
          <w:kern w:val="0"/>
          <w:sz w:val="31"/>
          <w:szCs w:val="31"/>
          <w:lang w:val="en-US" w:eastAsia="zh-CN" w:bidi="ar"/>
        </w:rPr>
        <w:t>目标</w:t>
      </w:r>
      <w:r>
        <w:rPr>
          <w:rFonts w:ascii="仿宋_GB2312" w:hAnsi="仿宋_GB2312" w:eastAsia="仿宋_GB2312" w:cs="仿宋_GB2312"/>
          <w:color w:val="000000"/>
          <w:kern w:val="0"/>
          <w:sz w:val="31"/>
          <w:szCs w:val="31"/>
          <w:lang w:val="en-US" w:eastAsia="zh-CN" w:bidi="ar"/>
        </w:rPr>
        <w:t>是：地区生产总值增长 9%；固定资产投资增长 10%；农村居民人均可支配收入增长 8%以上。</w:t>
      </w:r>
    </w:p>
    <w:p>
      <w:pPr>
        <w:keepNext w:val="0"/>
        <w:keepLines w:val="0"/>
        <w:pageBreakBefore w:val="0"/>
        <w:kinsoku/>
        <w:wordWrap/>
        <w:overflowPunct/>
        <w:topLinePunct w:val="0"/>
        <w:autoSpaceDE/>
        <w:autoSpaceDN/>
        <w:bidi w:val="0"/>
        <w:adjustRightInd/>
        <w:snapToGrid/>
        <w:spacing w:line="620" w:lineRule="exact"/>
        <w:ind w:firstLine="622" w:firstLineChars="200"/>
        <w:rPr>
          <w:rFonts w:hint="eastAsia" w:ascii="黑体" w:hAnsi="宋体" w:eastAsia="黑体" w:cs="黑体"/>
          <w:color w:val="000000"/>
          <w:kern w:val="0"/>
          <w:sz w:val="31"/>
          <w:szCs w:val="31"/>
          <w:lang w:val="en-US" w:eastAsia="zh-CN" w:bidi="ar"/>
        </w:rPr>
      </w:pPr>
      <w:r>
        <w:rPr>
          <w:rFonts w:hint="eastAsia" w:ascii="黑体" w:hAnsi="宋体" w:eastAsia="黑体" w:cs="黑体"/>
          <w:b/>
          <w:bCs/>
          <w:color w:val="000000"/>
          <w:kern w:val="0"/>
          <w:sz w:val="31"/>
          <w:szCs w:val="31"/>
          <w:lang w:val="en-US" w:eastAsia="zh-CN" w:bidi="ar"/>
        </w:rPr>
        <w:t>2021年本部门主要工作任务是：以乡村振兴为契机，大力推进</w:t>
      </w:r>
      <w:r>
        <w:rPr>
          <w:rFonts w:hint="eastAsia" w:ascii="黑体" w:hAnsi="宋体" w:eastAsia="黑体" w:cs="黑体"/>
          <w:color w:val="000000"/>
          <w:kern w:val="0"/>
          <w:sz w:val="31"/>
          <w:szCs w:val="31"/>
          <w:lang w:val="en-US" w:eastAsia="zh-CN" w:bidi="ar"/>
        </w:rPr>
        <w:t>“33211”工作任务，即:“创建三大产区，深化三大行动，抓好两个提升，完善一个机制，夯实一个根本”。</w:t>
      </w:r>
    </w:p>
    <w:p>
      <w:pPr>
        <w:keepNext w:val="0"/>
        <w:keepLines w:val="0"/>
        <w:pageBreakBefore w:val="0"/>
        <w:kinsoku/>
        <w:wordWrap/>
        <w:overflowPunct/>
        <w:topLinePunct w:val="0"/>
        <w:autoSpaceDE/>
        <w:autoSpaceDN/>
        <w:bidi w:val="0"/>
        <w:adjustRightInd/>
        <w:snapToGrid/>
        <w:spacing w:line="620" w:lineRule="exact"/>
        <w:ind w:firstLine="620" w:firstLineChars="200"/>
      </w:pPr>
      <w:r>
        <w:rPr>
          <w:rFonts w:hint="eastAsia" w:ascii="黑体" w:hAnsi="宋体" w:eastAsia="黑体" w:cs="黑体"/>
          <w:color w:val="000000"/>
          <w:kern w:val="0"/>
          <w:sz w:val="31"/>
          <w:szCs w:val="31"/>
          <w:lang w:val="en-US" w:eastAsia="zh-CN" w:bidi="ar"/>
        </w:rPr>
        <w:t xml:space="preserve">（一）创建三大产区，奋力在产业兴旺上开创新局面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2" w:firstLineChars="200"/>
        <w:jc w:val="left"/>
      </w:pPr>
      <w:r>
        <w:rPr>
          <w:rFonts w:ascii="仿宋_GB2312" w:hAnsi="仿宋_GB2312" w:eastAsia="仿宋_GB2312" w:cs="仿宋_GB2312"/>
          <w:b/>
          <w:bCs/>
          <w:color w:val="000000"/>
          <w:kern w:val="0"/>
          <w:sz w:val="31"/>
          <w:szCs w:val="31"/>
          <w:lang w:val="en-US" w:eastAsia="zh-CN" w:bidi="ar"/>
        </w:rPr>
        <w:t>一是创建北部新型工业区。</w:t>
      </w:r>
      <w:r>
        <w:rPr>
          <w:rFonts w:ascii="仿宋_GB2312" w:hAnsi="仿宋_GB2312" w:eastAsia="仿宋_GB2312" w:cs="仿宋_GB2312"/>
          <w:color w:val="000000"/>
          <w:kern w:val="0"/>
          <w:sz w:val="31"/>
          <w:szCs w:val="31"/>
          <w:lang w:val="en-US" w:eastAsia="zh-CN" w:bidi="ar"/>
        </w:rPr>
        <w:t xml:space="preserve">大力推进新型工业化水平，支持辖区企业找准市场定位，强化自身建设，拓展市场销路，实现企业做大做强。继续推进乔岳建材有限公司实施二期项目建设，追加投资 1000 万元，新建 400 平米生产车间，1600 平米全封闭料仓，配套年产 50 万吨的高品质机制砂石成套生产设备，新增就业岗位 200 余个。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2" w:firstLineChars="20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b/>
          <w:bCs/>
          <w:color w:val="000000"/>
          <w:kern w:val="0"/>
          <w:sz w:val="31"/>
          <w:szCs w:val="31"/>
          <w:lang w:val="en-US" w:eastAsia="zh-CN" w:bidi="ar"/>
        </w:rPr>
        <w:t>二是创建中部种养产业区。</w:t>
      </w:r>
      <w:r>
        <w:rPr>
          <w:rFonts w:ascii="仿宋_GB2312" w:hAnsi="仿宋_GB2312" w:eastAsia="仿宋_GB2312" w:cs="仿宋_GB2312"/>
          <w:color w:val="000000"/>
          <w:kern w:val="0"/>
          <w:sz w:val="31"/>
          <w:szCs w:val="31"/>
          <w:lang w:val="en-US" w:eastAsia="zh-CN" w:bidi="ar"/>
        </w:rPr>
        <w:t xml:space="preserve">积极融入全县建设以“三大中心、八大园区”为基础的智慧果蔬示范区大格局，加快构建现代农业产业体系。坚持“一村一品”“多村一业”发展思路，鼓励果农更新葡萄品种，推广避雨栽培和标准化 V 型架技术；引导石滩、蒙城、中立等村进行农业调产，扩大桃王九九种植规模，建设仓储物流中心。发挥文明村葫芦、朝阳村辣椒、新定村长山药、北辛店村矮化苹果、中立村花椒等示范引领作用，扩大肉鸡、肉猪、肉牛养殖规模，增加年出栏量，在全镇各村积极探索适宜本村发展的特色种养殖项目。同时，做好农业防灾减灾工作，加强监测预警，鼓励投保经营，牢牢守住小麦玉米等粮食种植面积，确保保产保收，增产增收。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2" w:firstLineChars="20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b/>
          <w:bCs/>
          <w:color w:val="000000"/>
          <w:kern w:val="0"/>
          <w:sz w:val="31"/>
          <w:szCs w:val="31"/>
          <w:lang w:val="en-US" w:eastAsia="zh-CN" w:bidi="ar"/>
        </w:rPr>
        <w:t>三是创建南部特色旅游区。</w:t>
      </w:r>
      <w:r>
        <w:rPr>
          <w:rFonts w:ascii="仿宋_GB2312" w:hAnsi="仿宋_GB2312" w:eastAsia="仿宋_GB2312" w:cs="仿宋_GB2312"/>
          <w:color w:val="000000"/>
          <w:kern w:val="0"/>
          <w:sz w:val="31"/>
          <w:szCs w:val="31"/>
          <w:lang w:val="en-US" w:eastAsia="zh-CN" w:bidi="ar"/>
        </w:rPr>
        <w:t>积极融入全县创建国家全域旅游示范区大格局，以朝阳沟景区、玫瑰园为核心，将旅游重心从朝阳沟景区延伸拓展至旅游路、大运路沿线各村，带动周边村实现三产融合发展。朝阳沟景区方面，要明晰产权、规范管理、完善设施，确保合法有序运营。玫瑰产业园区方面，引进山西</w:t>
      </w:r>
      <w:r>
        <w:rPr>
          <w:rFonts w:hint="eastAsia" w:ascii="宋体" w:hAnsi="宋体" w:eastAsia="宋体" w:cs="宋体"/>
          <w:color w:val="000000"/>
          <w:kern w:val="0"/>
          <w:sz w:val="31"/>
          <w:szCs w:val="31"/>
          <w:lang w:val="en-US" w:eastAsia="zh-CN" w:bidi="ar"/>
        </w:rPr>
        <w:t>垚</w:t>
      </w:r>
      <w:r>
        <w:rPr>
          <w:rFonts w:ascii="仿宋_GB2312" w:hAnsi="仿宋_GB2312" w:eastAsia="仿宋_GB2312" w:cs="仿宋_GB2312"/>
          <w:color w:val="000000"/>
          <w:kern w:val="0"/>
          <w:sz w:val="31"/>
          <w:szCs w:val="31"/>
          <w:lang w:val="en-US" w:eastAsia="zh-CN" w:bidi="ar"/>
        </w:rPr>
        <w:t>鑫农业科技发展有限公司入驻实施一期项目，建设 2 栋育苗拱棚、120亩试验园、500 亩种植基地，协调南柴、北柴、新定、安定四个村加快土地流转。同时，做好二期精油深加工生产车间、展示厅选址工作。</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0" w:firstLineChars="200"/>
        <w:jc w:val="left"/>
      </w:pPr>
      <w:r>
        <w:rPr>
          <w:rFonts w:hint="eastAsia" w:ascii="黑体" w:hAnsi="宋体" w:eastAsia="黑体" w:cs="黑体"/>
          <w:color w:val="000000"/>
          <w:kern w:val="0"/>
          <w:sz w:val="31"/>
          <w:szCs w:val="31"/>
          <w:lang w:val="en-US" w:eastAsia="zh-CN" w:bidi="ar"/>
        </w:rPr>
        <w:t xml:space="preserve">（二）深化三大行动，奋力在生态宜居上开创新局面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2" w:firstLineChars="200"/>
        <w:jc w:val="left"/>
      </w:pPr>
      <w:r>
        <w:rPr>
          <w:rFonts w:ascii="仿宋_GB2312" w:hAnsi="仿宋_GB2312" w:eastAsia="仿宋_GB2312" w:cs="仿宋_GB2312"/>
          <w:b/>
          <w:bCs/>
          <w:color w:val="000000"/>
          <w:kern w:val="0"/>
          <w:sz w:val="31"/>
          <w:szCs w:val="31"/>
          <w:lang w:val="en-US" w:eastAsia="zh-CN" w:bidi="ar"/>
        </w:rPr>
        <w:t>一是深化推进环境整治行动。</w:t>
      </w:r>
      <w:r>
        <w:rPr>
          <w:rFonts w:ascii="仿宋_GB2312" w:hAnsi="仿宋_GB2312" w:eastAsia="仿宋_GB2312" w:cs="仿宋_GB2312"/>
          <w:color w:val="000000"/>
          <w:kern w:val="0"/>
          <w:sz w:val="31"/>
          <w:szCs w:val="31"/>
          <w:lang w:val="en-US" w:eastAsia="zh-CN" w:bidi="ar"/>
        </w:rPr>
        <w:t xml:space="preserve">严格落实“片区负责制”“两拍销账法”，积极开展环境卫生大整治、大清洁行动；严格落实巷长负责制、垃圾日清制，长效保持村庄干净整洁；严格落实门前三包制、双黄线管理机制，有效管控集市、门店环境卫生。建立健全景区运营管理办法及环境保洁制度，高标准治理景区及沿线环境卫生，全力改善人居环境。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2" w:firstLineChars="200"/>
        <w:jc w:val="left"/>
      </w:pPr>
      <w:r>
        <w:rPr>
          <w:rFonts w:ascii="仿宋_GB2312" w:hAnsi="仿宋_GB2312" w:eastAsia="仿宋_GB2312" w:cs="仿宋_GB2312"/>
          <w:b/>
          <w:bCs/>
          <w:color w:val="000000"/>
          <w:kern w:val="0"/>
          <w:sz w:val="31"/>
          <w:szCs w:val="31"/>
          <w:lang w:val="en-US" w:eastAsia="zh-CN" w:bidi="ar"/>
        </w:rPr>
        <w:t>二是深化推进安全生产行动。</w:t>
      </w:r>
      <w:r>
        <w:rPr>
          <w:rFonts w:ascii="仿宋_GB2312" w:hAnsi="仿宋_GB2312" w:eastAsia="仿宋_GB2312" w:cs="仿宋_GB2312"/>
          <w:color w:val="000000"/>
          <w:kern w:val="0"/>
          <w:sz w:val="31"/>
          <w:szCs w:val="31"/>
          <w:lang w:val="en-US" w:eastAsia="zh-CN" w:bidi="ar"/>
        </w:rPr>
        <w:t xml:space="preserve">督促各企业履行安全法律责 </w:t>
      </w:r>
    </w:p>
    <w:p>
      <w:pPr>
        <w:keepNext w:val="0"/>
        <w:keepLines w:val="0"/>
        <w:pageBreakBefore w:val="0"/>
        <w:widowControl/>
        <w:suppressLineNumbers w:val="0"/>
        <w:kinsoku/>
        <w:wordWrap/>
        <w:overflowPunct/>
        <w:topLinePunct w:val="0"/>
        <w:autoSpaceDE/>
        <w:autoSpaceDN/>
        <w:bidi w:val="0"/>
        <w:adjustRightInd/>
        <w:snapToGrid/>
        <w:spacing w:line="620" w:lineRule="exact"/>
        <w:jc w:val="left"/>
      </w:pPr>
      <w:r>
        <w:rPr>
          <w:rFonts w:ascii="仿宋_GB2312" w:hAnsi="仿宋_GB2312" w:eastAsia="仿宋_GB2312" w:cs="仿宋_GB2312"/>
          <w:color w:val="000000"/>
          <w:kern w:val="0"/>
          <w:sz w:val="31"/>
          <w:szCs w:val="31"/>
          <w:lang w:val="en-US" w:eastAsia="zh-CN" w:bidi="ar"/>
        </w:rPr>
        <w:t xml:space="preserve">任、规范生产操作规程、提升专业技能等方面的专题培训，不断提高安全水平，对发生安全生产事故的实行顶格处罚、严肃问责，倒逼安全生产责任落实落细，坚决防范和遏制各类事故发生。各村、各站所必须严格执行“一岗双责、失职追责”和“三必管”工作要求，经常深入安全生产一线，及时协调解决工作中遇到的困难和问题。狠抓隐患排查，建立健全隐患排查治理常态化机制，及时消除危化品、非煤矿山、道路交通、村庄燃气特别是房屋建筑等行业领域存在的安全隐患，坚决杜绝事故发生。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2" w:firstLineChars="200"/>
        <w:jc w:val="left"/>
      </w:pPr>
      <w:r>
        <w:rPr>
          <w:rFonts w:ascii="仿宋_GB2312" w:hAnsi="仿宋_GB2312" w:eastAsia="仿宋_GB2312" w:cs="仿宋_GB2312"/>
          <w:b/>
          <w:bCs/>
          <w:color w:val="000000"/>
          <w:kern w:val="0"/>
          <w:sz w:val="31"/>
          <w:szCs w:val="31"/>
          <w:lang w:val="en-US" w:eastAsia="zh-CN" w:bidi="ar"/>
        </w:rPr>
        <w:t>三是深化推进生态环保行动。</w:t>
      </w:r>
      <w:r>
        <w:rPr>
          <w:rFonts w:ascii="楷体_GB2312" w:hAnsi="楷体_GB2312" w:eastAsia="楷体_GB2312" w:cs="楷体_GB2312"/>
          <w:color w:val="000000"/>
          <w:kern w:val="0"/>
          <w:sz w:val="31"/>
          <w:szCs w:val="31"/>
          <w:lang w:val="en-US" w:eastAsia="zh-CN" w:bidi="ar"/>
        </w:rPr>
        <w:t>工矿企业方面，</w:t>
      </w:r>
      <w:r>
        <w:rPr>
          <w:rFonts w:ascii="仿宋_GB2312" w:hAnsi="仿宋_GB2312" w:eastAsia="仿宋_GB2312" w:cs="仿宋_GB2312"/>
          <w:color w:val="000000"/>
          <w:kern w:val="0"/>
          <w:sz w:val="31"/>
          <w:szCs w:val="31"/>
          <w:lang w:val="en-US" w:eastAsia="zh-CN" w:bidi="ar"/>
        </w:rPr>
        <w:t>深入践行“两山”理念，落实“差异化”管控要求，巩固“散乱污”企业动态清零成果，做好跨年度“秋冬防”综合治理攻坚和重污染天气应对差异化生产管控，全面降低工业污染排放总量。</w:t>
      </w:r>
      <w:r>
        <w:rPr>
          <w:rFonts w:ascii="楷体_GB2312" w:hAnsi="楷体_GB2312" w:eastAsia="楷体_GB2312" w:cs="楷体_GB2312"/>
          <w:color w:val="000000"/>
          <w:kern w:val="0"/>
          <w:sz w:val="31"/>
          <w:szCs w:val="31"/>
          <w:lang w:val="en-US" w:eastAsia="zh-CN" w:bidi="ar"/>
        </w:rPr>
        <w:t>清洁取暖方面，</w:t>
      </w:r>
      <w:r>
        <w:rPr>
          <w:rFonts w:ascii="仿宋_GB2312" w:hAnsi="仿宋_GB2312" w:eastAsia="仿宋_GB2312" w:cs="仿宋_GB2312"/>
          <w:color w:val="000000"/>
          <w:kern w:val="0"/>
          <w:sz w:val="31"/>
          <w:szCs w:val="31"/>
          <w:lang w:val="en-US" w:eastAsia="zh-CN" w:bidi="ar"/>
        </w:rPr>
        <w:t>加紧实施清洁取暖扫尾工作，扩大“煤气”“煤改电”管网覆盖面，加大宣传和稽查力度，确保“禁煤区”无煤化，真正实现从“全覆盖”到“无盲区”。</w:t>
      </w:r>
      <w:r>
        <w:rPr>
          <w:rFonts w:ascii="楷体_GB2312" w:hAnsi="楷体_GB2312" w:eastAsia="楷体_GB2312" w:cs="楷体_GB2312"/>
          <w:color w:val="000000"/>
          <w:kern w:val="0"/>
          <w:sz w:val="31"/>
          <w:szCs w:val="31"/>
          <w:lang w:val="en-US" w:eastAsia="zh-CN" w:bidi="ar"/>
        </w:rPr>
        <w:t>河道治理方面，</w:t>
      </w:r>
      <w:r>
        <w:rPr>
          <w:rFonts w:ascii="仿宋_GB2312" w:hAnsi="仿宋_GB2312" w:eastAsia="仿宋_GB2312" w:cs="仿宋_GB2312"/>
          <w:color w:val="000000"/>
          <w:kern w:val="0"/>
          <w:sz w:val="31"/>
          <w:szCs w:val="31"/>
          <w:lang w:val="en-US" w:eastAsia="zh-CN" w:bidi="ar"/>
        </w:rPr>
        <w:t>严格落实“河长制”，发挥汾河、滏河（里村段）沿线各村职能作用，确保辖区内无污水、垃圾排放，出境断面水质长期稳定达到地表水 V 类。</w:t>
      </w:r>
      <w:r>
        <w:rPr>
          <w:rFonts w:ascii="楷体_GB2312" w:hAnsi="楷体_GB2312" w:eastAsia="楷体_GB2312" w:cs="楷体_GB2312"/>
          <w:color w:val="000000"/>
          <w:kern w:val="0"/>
          <w:sz w:val="31"/>
          <w:szCs w:val="31"/>
          <w:lang w:val="en-US" w:eastAsia="zh-CN" w:bidi="ar"/>
        </w:rPr>
        <w:t>土壤治理方面，</w:t>
      </w:r>
      <w:r>
        <w:rPr>
          <w:rFonts w:ascii="仿宋_GB2312" w:hAnsi="仿宋_GB2312" w:eastAsia="仿宋_GB2312" w:cs="仿宋_GB2312"/>
          <w:color w:val="000000"/>
          <w:kern w:val="0"/>
          <w:sz w:val="31"/>
          <w:szCs w:val="31"/>
          <w:lang w:val="en-US" w:eastAsia="zh-CN" w:bidi="ar"/>
        </w:rPr>
        <w:t>强化农业污染治理，加强畜禽养殖污染防治，减少化肥农药使用量，最大限度降低土壤污染。</w:t>
      </w:r>
      <w:r>
        <w:rPr>
          <w:rFonts w:ascii="楷体_GB2312" w:hAnsi="楷体_GB2312" w:eastAsia="楷体_GB2312" w:cs="楷体_GB2312"/>
          <w:color w:val="000000"/>
          <w:kern w:val="0"/>
          <w:sz w:val="31"/>
          <w:szCs w:val="31"/>
          <w:lang w:val="en-US" w:eastAsia="zh-CN" w:bidi="ar"/>
        </w:rPr>
        <w:t>国土绿化方面，</w:t>
      </w:r>
      <w:r>
        <w:rPr>
          <w:rFonts w:ascii="仿宋_GB2312" w:hAnsi="仿宋_GB2312" w:eastAsia="仿宋_GB2312" w:cs="仿宋_GB2312"/>
          <w:color w:val="000000"/>
          <w:kern w:val="0"/>
          <w:sz w:val="31"/>
          <w:szCs w:val="31"/>
          <w:lang w:val="en-US" w:eastAsia="zh-CN" w:bidi="ar"/>
        </w:rPr>
        <w:t xml:space="preserve">深入实施园林绿化、通道绿化、村庄绿化、荒山绿化等工程，确保全镇森林覆盖率提升 0.5 个百分点。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0" w:firstLineChars="200"/>
        <w:jc w:val="left"/>
      </w:pPr>
      <w:r>
        <w:rPr>
          <w:rFonts w:hint="eastAsia" w:ascii="黑体" w:hAnsi="宋体" w:eastAsia="黑体" w:cs="黑体"/>
          <w:color w:val="000000"/>
          <w:kern w:val="0"/>
          <w:sz w:val="31"/>
          <w:szCs w:val="31"/>
          <w:lang w:val="en-US" w:eastAsia="zh-CN" w:bidi="ar"/>
        </w:rPr>
        <w:t xml:space="preserve">（三）抓好两个提升，奋力在乡风文明上开创新局面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2" w:firstLineChars="200"/>
        <w:jc w:val="left"/>
      </w:pPr>
      <w:r>
        <w:rPr>
          <w:rFonts w:ascii="仿宋_GB2312" w:hAnsi="仿宋_GB2312" w:eastAsia="仿宋_GB2312" w:cs="仿宋_GB2312"/>
          <w:b/>
          <w:bCs/>
          <w:color w:val="000000"/>
          <w:kern w:val="0"/>
          <w:sz w:val="31"/>
          <w:szCs w:val="31"/>
          <w:lang w:val="en-US" w:eastAsia="zh-CN" w:bidi="ar"/>
        </w:rPr>
        <w:t>一是实现文化建设有效提升。</w:t>
      </w:r>
      <w:r>
        <w:rPr>
          <w:rFonts w:ascii="仿宋_GB2312" w:hAnsi="仿宋_GB2312" w:eastAsia="仿宋_GB2312" w:cs="仿宋_GB2312"/>
          <w:color w:val="000000"/>
          <w:kern w:val="0"/>
          <w:sz w:val="31"/>
          <w:szCs w:val="31"/>
          <w:lang w:val="en-US" w:eastAsia="zh-CN" w:bidi="ar"/>
        </w:rPr>
        <w:t xml:space="preserve">公共文化方面，要加强对农村文化场所的规范化管理，对全镇各村公共文化活动中心、文化活动广场基础设施进行修缮；做好村级文化室、农家书屋管理和运行；完善各项制度，消除安全隐患，为全镇群众营造良好的文化活动氛围，切实筑牢文化活动主阵地。节日庆典方面，以庆祝建党 100 周年、举办重大节庆活动为契机，深挖题材素材，潜心策划创作，积极组织参加全县第六届“好基地讲好故事”活动，推送一批深受群众喜爱和好评的精品力作，不断丰富广大群众精神文化生活。传统文化方面，积极培育乡贤文化，有效发挥身边好人、道德模范等示范引领作用，弘扬文明新风；加大政策扶持力度，鼓励支持文敬剪纸、文明葫芦为代表的具有传统文化根基的产品做大做强；落实文物监管责任，对县级及以上文物保护单位定期巡查，确保文物得到有效保护。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2" w:firstLineChars="200"/>
        <w:jc w:val="left"/>
      </w:pPr>
      <w:r>
        <w:rPr>
          <w:rFonts w:ascii="仿宋_GB2312" w:hAnsi="仿宋_GB2312" w:eastAsia="仿宋_GB2312" w:cs="仿宋_GB2312"/>
          <w:b/>
          <w:bCs/>
          <w:color w:val="000000"/>
          <w:kern w:val="0"/>
          <w:sz w:val="31"/>
          <w:szCs w:val="31"/>
          <w:lang w:val="en-US" w:eastAsia="zh-CN" w:bidi="ar"/>
        </w:rPr>
        <w:t>二是实现文明村镇有效提升。</w:t>
      </w:r>
      <w:r>
        <w:rPr>
          <w:rFonts w:ascii="仿宋_GB2312" w:hAnsi="仿宋_GB2312" w:eastAsia="仿宋_GB2312" w:cs="仿宋_GB2312"/>
          <w:color w:val="000000"/>
          <w:kern w:val="0"/>
          <w:sz w:val="31"/>
          <w:szCs w:val="31"/>
          <w:lang w:val="en-US" w:eastAsia="zh-CN" w:bidi="ar"/>
        </w:rPr>
        <w:t xml:space="preserve">修订完善村规民约，做到家喻户晓、深入民心；发挥红白理事会职能作用，有效制止农村婚丧嫁娶大操大办等不良行为；在“重阳节”“国庆节”等传统节日组织开展文体活动，激发全民爱国热情；以镇村两级党群服务中心为载体，利用墙报、灯箱、版面、电子栏等形式，深入宣传社会主义核心价值观，弘扬主旋律，传播正能量。创新开展各类文明实践和志愿服务活动，做到“月月有主题、周周有活动、天天有宣传”；广泛开展“星级文明户”“好媳妇”“好婆婆”“好家庭”等评选表彰活动。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0" w:firstLineChars="200"/>
        <w:jc w:val="left"/>
      </w:pPr>
      <w:r>
        <w:rPr>
          <w:rFonts w:hint="eastAsia" w:ascii="黑体" w:hAnsi="宋体" w:eastAsia="黑体" w:cs="黑体"/>
          <w:color w:val="000000"/>
          <w:kern w:val="0"/>
          <w:sz w:val="31"/>
          <w:szCs w:val="31"/>
          <w:lang w:val="en-US" w:eastAsia="zh-CN" w:bidi="ar"/>
        </w:rPr>
        <w:t xml:space="preserve">（四）完善一个机制，奋力在治理有效上开创新局面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0" w:firstLineChars="200"/>
        <w:jc w:val="left"/>
      </w:pPr>
      <w:r>
        <w:rPr>
          <w:rFonts w:ascii="仿宋_GB2312" w:hAnsi="仿宋_GB2312" w:eastAsia="仿宋_GB2312" w:cs="仿宋_GB2312"/>
          <w:color w:val="000000"/>
          <w:kern w:val="0"/>
          <w:sz w:val="31"/>
          <w:szCs w:val="31"/>
          <w:lang w:val="en-US" w:eastAsia="zh-CN" w:bidi="ar"/>
        </w:rPr>
        <w:t xml:space="preserve">深化“一部两会三队”工作机制，实现村民自治实践、法治乡村建设、德治水平提升相结合。以“一部两会三队”为抓手，充分发挥基层党支部，乡贤参事会、百姓议事会，文明促进队、法制保障队、志愿服务队职能作用。乡贤参事会、百姓议事会，广泛制定村规民约、网格化管理、红白喜事等制度，督促推进产业发展、安全稳定、文明创建等工作。志愿服务队，鼓励党员群众积极加入志愿者队伍，开展疫情防控、环境整治、扶贫济困等帮扶活动。文明促进队，有效利用广播、微信、走访等方式宣传涉农政策、疫情防控知识、安全使用燃气等工作，为村民解疑答惑，助推工作开展。法治保障队，做好普法宣传，开展安全教育，提高法律意识，协调邻里纠纷，有效化解基层矛盾，维护全镇社会大局和谐稳定。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0" w:firstLineChars="200"/>
        <w:jc w:val="left"/>
      </w:pPr>
      <w:r>
        <w:rPr>
          <w:rFonts w:hint="eastAsia" w:ascii="黑体" w:hAnsi="宋体" w:eastAsia="黑体" w:cs="黑体"/>
          <w:color w:val="000000"/>
          <w:kern w:val="0"/>
          <w:sz w:val="31"/>
          <w:szCs w:val="31"/>
          <w:lang w:val="en-US" w:eastAsia="zh-CN" w:bidi="ar"/>
        </w:rPr>
        <w:t xml:space="preserve">（五）夯实一个根本，奋力在生活富裕上开创新局面 </w:t>
      </w:r>
    </w:p>
    <w:p>
      <w:pPr>
        <w:keepNext w:val="0"/>
        <w:keepLines w:val="0"/>
        <w:pageBreakBefore w:val="0"/>
        <w:widowControl/>
        <w:suppressLineNumbers w:val="0"/>
        <w:kinsoku/>
        <w:wordWrap/>
        <w:overflowPunct/>
        <w:topLinePunct w:val="0"/>
        <w:autoSpaceDE/>
        <w:autoSpaceDN/>
        <w:bidi w:val="0"/>
        <w:adjustRightInd/>
        <w:snapToGrid/>
        <w:spacing w:line="620" w:lineRule="exact"/>
        <w:ind w:firstLine="620" w:firstLineChars="200"/>
        <w:jc w:val="left"/>
        <w:rPr>
          <w:rFonts w:hint="eastAsia"/>
          <w:lang w:val="en-US" w:eastAsia="zh-CN"/>
        </w:rPr>
      </w:pPr>
      <w:r>
        <w:rPr>
          <w:rFonts w:ascii="仿宋_GB2312" w:hAnsi="仿宋_GB2312" w:eastAsia="仿宋_GB2312" w:cs="仿宋_GB2312"/>
          <w:color w:val="000000"/>
          <w:kern w:val="0"/>
          <w:sz w:val="31"/>
          <w:szCs w:val="31"/>
          <w:lang w:val="en-US" w:eastAsia="zh-CN" w:bidi="ar"/>
        </w:rPr>
        <w:t>要坚持把实现好、维护好、发展好最广大人民根本利益作为发展的出发点和落脚点，大力发展民生事业、兴办民生实事，不断满足人民日益增长的美好生活需要。</w:t>
      </w:r>
      <w:r>
        <w:rPr>
          <w:rFonts w:ascii="仿宋_GB2312" w:hAnsi="仿宋_GB2312" w:eastAsia="仿宋_GB2312" w:cs="仿宋_GB2312"/>
          <w:b/>
          <w:bCs/>
          <w:color w:val="000000"/>
          <w:kern w:val="0"/>
          <w:sz w:val="31"/>
          <w:szCs w:val="31"/>
          <w:lang w:val="en-US" w:eastAsia="zh-CN" w:bidi="ar"/>
        </w:rPr>
        <w:t>推进基础设施建设。</w:t>
      </w:r>
      <w:r>
        <w:rPr>
          <w:rFonts w:ascii="仿宋_GB2312" w:hAnsi="仿宋_GB2312" w:eastAsia="仿宋_GB2312" w:cs="仿宋_GB2312"/>
          <w:color w:val="000000"/>
          <w:kern w:val="0"/>
          <w:sz w:val="31"/>
          <w:szCs w:val="31"/>
          <w:lang w:val="en-US" w:eastAsia="zh-CN" w:bidi="ar"/>
        </w:rPr>
        <w:t>积极推进文明葫芦园深加工项目，封王堡服装厂投产达效项目，蒙城电子设备加工项目建设，完成北柴、新城、文明、中立道路翻修项目，封王、安定、北柴、蒙城自来水及上下水管网建设项目，新定、蒙城主干道路亮化项目，新定、封王堡 U 型渠、防渗渠道修复项目，朝阳新建水井、新城新建水站等项目建设，为各村产业发展保驾护航。</w:t>
      </w:r>
      <w:r>
        <w:rPr>
          <w:rFonts w:ascii="仿宋_GB2312" w:hAnsi="仿宋_GB2312" w:eastAsia="仿宋_GB2312" w:cs="仿宋_GB2312"/>
          <w:b/>
          <w:bCs/>
          <w:color w:val="000000"/>
          <w:kern w:val="0"/>
          <w:sz w:val="31"/>
          <w:szCs w:val="31"/>
          <w:lang w:val="en-US" w:eastAsia="zh-CN" w:bidi="ar"/>
        </w:rPr>
        <w:t>巩固拓展脱贫攻坚成果。</w:t>
      </w:r>
      <w:r>
        <w:rPr>
          <w:rFonts w:ascii="仿宋_GB2312" w:hAnsi="仿宋_GB2312" w:eastAsia="仿宋_GB2312" w:cs="仿宋_GB2312"/>
          <w:color w:val="000000"/>
          <w:kern w:val="0"/>
          <w:sz w:val="31"/>
          <w:szCs w:val="31"/>
          <w:lang w:val="en-US" w:eastAsia="zh-CN" w:bidi="ar"/>
        </w:rPr>
        <w:t>健全防止返贫动态监测和帮扶机制，对易返贫致贫人口实施常态化监测，重点监测收入水平变化和“两不愁三保障”巩固情况，继续精准施策，确保5年过渡期帮扶政策总体平稳。对现有帮扶政策逐项分类优化调整，合理把握调整节奏、力度、时限，逐步实现由集中资源支持脱贫攻坚向全面推进乡村振兴平稳过渡。</w:t>
      </w:r>
      <w:r>
        <w:rPr>
          <w:rFonts w:ascii="仿宋_GB2312" w:hAnsi="仿宋_GB2312" w:eastAsia="仿宋_GB2312" w:cs="仿宋_GB2312"/>
          <w:b/>
          <w:bCs/>
          <w:color w:val="000000"/>
          <w:kern w:val="0"/>
          <w:sz w:val="31"/>
          <w:szCs w:val="31"/>
          <w:lang w:val="en-US" w:eastAsia="zh-CN" w:bidi="ar"/>
        </w:rPr>
        <w:t>狠抓教育复兴。</w:t>
      </w:r>
      <w:r>
        <w:rPr>
          <w:rFonts w:ascii="仿宋_GB2312" w:hAnsi="仿宋_GB2312" w:eastAsia="仿宋_GB2312" w:cs="仿宋_GB2312"/>
          <w:color w:val="000000"/>
          <w:kern w:val="0"/>
          <w:sz w:val="31"/>
          <w:szCs w:val="31"/>
          <w:lang w:val="en-US" w:eastAsia="zh-CN" w:bidi="ar"/>
        </w:rPr>
        <w:t>中小学校、幼儿园做好校园安全工作，积极打造美丽平安校园；持续强化师资队伍建设，实施“名师名校”工程，多措并举发挥名师效应，力促教学质量实现大提升。</w:t>
      </w:r>
      <w:r>
        <w:rPr>
          <w:rFonts w:ascii="仿宋_GB2312" w:hAnsi="仿宋_GB2312" w:eastAsia="仿宋_GB2312" w:cs="仿宋_GB2312"/>
          <w:b/>
          <w:bCs/>
          <w:color w:val="000000"/>
          <w:kern w:val="0"/>
          <w:sz w:val="31"/>
          <w:szCs w:val="31"/>
          <w:lang w:val="en-US" w:eastAsia="zh-CN" w:bidi="ar"/>
        </w:rPr>
        <w:t>完善社会保障体系。</w:t>
      </w:r>
      <w:r>
        <w:rPr>
          <w:rFonts w:ascii="仿宋_GB2312" w:hAnsi="仿宋_GB2312" w:eastAsia="仿宋_GB2312" w:cs="仿宋_GB2312"/>
          <w:color w:val="000000"/>
          <w:kern w:val="0"/>
          <w:sz w:val="31"/>
          <w:szCs w:val="31"/>
          <w:lang w:val="en-US" w:eastAsia="zh-CN" w:bidi="ar"/>
        </w:rPr>
        <w:t>深入实施全民参保计划，宣传新型农村养老政策，不断扩大社会保险覆盖面</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认真组织开展低保、五保核查和临时救灾救助工作，严格农村困难危房户申报程序和验收标准。深化“人人持证、技能社会”建设，落实“临汾技工”品牌战略，持续拓宽就业创业渠道，突出抓好高校毕业生、农民工、退役军人、失业人员、就业困难人员等重点群体就业，努力让群众享受更多普惠政策</w:t>
      </w:r>
      <w:r>
        <w:rPr>
          <w:rFonts w:hint="eastAsia" w:ascii="仿宋_GB2312" w:hAnsi="仿宋_GB2312" w:eastAsia="仿宋_GB2312" w:cs="仿宋_GB2312"/>
          <w:color w:val="000000"/>
          <w:kern w:val="0"/>
          <w:sz w:val="31"/>
          <w:szCs w:val="31"/>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160"/>
        <w:jc w:val="left"/>
        <w:rPr>
          <w:b/>
          <w:bCs/>
        </w:rPr>
      </w:pPr>
      <w:r>
        <w:rPr>
          <w:rFonts w:hint="eastAsia" w:ascii="仿宋" w:hAnsi="仿宋" w:eastAsia="仿宋" w:cs="仿宋"/>
          <w:b/>
          <w:bCs/>
          <w:i w:val="0"/>
          <w:iCs w:val="0"/>
          <w:caps w:val="0"/>
          <w:color w:val="1E1E1E"/>
          <w:spacing w:val="0"/>
          <w:kern w:val="0"/>
          <w:sz w:val="32"/>
          <w:szCs w:val="32"/>
          <w:lang w:val="en-US" w:eastAsia="zh-CN" w:bidi="ar"/>
        </w:rPr>
        <w:t>二、部门整体支出规模、使用方向和内容（金额：万元）。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（一）年度预算收支情况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1.年初预算收支</w:t>
      </w:r>
    </w:p>
    <w:tbl>
      <w:tblPr>
        <w:tblStyle w:val="10"/>
        <w:tblW w:w="91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04"/>
        <w:gridCol w:w="1626"/>
        <w:gridCol w:w="1953"/>
        <w:gridCol w:w="1617"/>
        <w:gridCol w:w="1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2" w:hRule="atLeast"/>
          <w:jc w:val="center"/>
        </w:trPr>
        <w:tc>
          <w:tcPr>
            <w:tcW w:w="2004" w:type="dxa"/>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hanging="482"/>
              <w:jc w:val="center"/>
              <w:textAlignment w:val="center"/>
            </w:pPr>
            <w:r>
              <w:rPr>
                <w:rFonts w:hint="eastAsia" w:ascii="仿宋" w:hAnsi="仿宋" w:eastAsia="仿宋" w:cs="仿宋"/>
                <w:b/>
                <w:bCs/>
                <w:color w:val="000000"/>
                <w:kern w:val="0"/>
                <w:sz w:val="32"/>
                <w:szCs w:val="32"/>
                <w:lang w:val="en-US" w:eastAsia="zh-CN" w:bidi="ar"/>
              </w:rPr>
              <w:t>预算项目</w:t>
            </w:r>
          </w:p>
        </w:tc>
        <w:tc>
          <w:tcPr>
            <w:tcW w:w="3579"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hanging="482"/>
              <w:jc w:val="center"/>
              <w:textAlignment w:val="center"/>
            </w:pPr>
            <w:r>
              <w:rPr>
                <w:rFonts w:hint="eastAsia" w:ascii="仿宋" w:hAnsi="仿宋" w:eastAsia="仿宋" w:cs="仿宋"/>
                <w:b/>
                <w:bCs/>
                <w:color w:val="000000"/>
                <w:kern w:val="0"/>
                <w:sz w:val="32"/>
                <w:szCs w:val="32"/>
                <w:lang w:val="en-US" w:eastAsia="zh-CN" w:bidi="ar"/>
              </w:rPr>
              <w:t>预算金额</w:t>
            </w:r>
          </w:p>
        </w:tc>
        <w:tc>
          <w:tcPr>
            <w:tcW w:w="3606"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hanging="482"/>
              <w:jc w:val="center"/>
              <w:textAlignment w:val="center"/>
            </w:pPr>
            <w:r>
              <w:rPr>
                <w:rFonts w:hint="eastAsia" w:ascii="仿宋" w:hAnsi="仿宋" w:eastAsia="仿宋" w:cs="仿宋"/>
                <w:b/>
                <w:bCs/>
                <w:color w:val="000000"/>
                <w:kern w:val="0"/>
                <w:sz w:val="32"/>
                <w:szCs w:val="32"/>
                <w:lang w:val="en-US" w:eastAsia="zh-CN" w:bidi="ar"/>
              </w:rPr>
              <w:t>较上年增加金额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jc w:val="center"/>
        </w:trPr>
        <w:tc>
          <w:tcPr>
            <w:tcW w:w="2004" w:type="dxa"/>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rPr>
                <w:rFonts w:hint="eastAsia" w:ascii="宋体"/>
                <w:sz w:val="24"/>
                <w:szCs w:val="24"/>
              </w:rPr>
            </w:pPr>
          </w:p>
        </w:tc>
        <w:tc>
          <w:tcPr>
            <w:tcW w:w="1626"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hanging="482"/>
              <w:jc w:val="center"/>
              <w:textAlignment w:val="center"/>
            </w:pPr>
            <w:r>
              <w:rPr>
                <w:rFonts w:hint="eastAsia" w:ascii="仿宋" w:hAnsi="仿宋" w:eastAsia="仿宋" w:cs="仿宋"/>
                <w:b/>
                <w:bCs/>
                <w:color w:val="000000"/>
                <w:kern w:val="0"/>
                <w:sz w:val="32"/>
                <w:szCs w:val="32"/>
                <w:lang w:val="en-US" w:eastAsia="zh-CN" w:bidi="ar"/>
              </w:rPr>
              <w:t>2021年</w:t>
            </w:r>
          </w:p>
        </w:tc>
        <w:tc>
          <w:tcPr>
            <w:tcW w:w="1953"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hanging="482"/>
              <w:jc w:val="center"/>
              <w:textAlignment w:val="center"/>
            </w:pPr>
            <w:r>
              <w:rPr>
                <w:rFonts w:hint="eastAsia" w:ascii="仿宋" w:hAnsi="仿宋" w:eastAsia="仿宋" w:cs="仿宋"/>
                <w:b/>
                <w:bCs/>
                <w:color w:val="000000"/>
                <w:kern w:val="0"/>
                <w:sz w:val="32"/>
                <w:szCs w:val="32"/>
                <w:lang w:val="en-US" w:eastAsia="zh-CN" w:bidi="ar"/>
              </w:rPr>
              <w:t>2020年</w:t>
            </w:r>
          </w:p>
        </w:tc>
        <w:tc>
          <w:tcPr>
            <w:tcW w:w="1617"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hanging="482"/>
              <w:jc w:val="center"/>
              <w:textAlignment w:val="center"/>
            </w:pPr>
            <w:r>
              <w:rPr>
                <w:rFonts w:hint="eastAsia" w:ascii="仿宋" w:hAnsi="仿宋" w:eastAsia="仿宋" w:cs="仿宋"/>
                <w:b/>
                <w:bCs/>
                <w:color w:val="000000"/>
                <w:kern w:val="0"/>
                <w:sz w:val="32"/>
                <w:szCs w:val="32"/>
                <w:lang w:val="en-US" w:eastAsia="zh-CN" w:bidi="ar"/>
              </w:rPr>
              <w:t>金额</w:t>
            </w:r>
          </w:p>
        </w:tc>
        <w:tc>
          <w:tcPr>
            <w:tcW w:w="1989"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hanging="482"/>
              <w:jc w:val="center"/>
              <w:textAlignment w:val="center"/>
            </w:pPr>
            <w:r>
              <w:rPr>
                <w:rFonts w:hint="eastAsia" w:ascii="仿宋" w:hAnsi="仿宋" w:eastAsia="仿宋" w:cs="仿宋"/>
                <w:b/>
                <w:bCs/>
                <w:color w:val="000000"/>
                <w:kern w:val="0"/>
                <w:sz w:val="32"/>
                <w:szCs w:val="32"/>
                <w:lang w:val="en-US" w:eastAsia="zh-CN" w:bidi="ar"/>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jc w:val="center"/>
        </w:trPr>
        <w:tc>
          <w:tcPr>
            <w:tcW w:w="20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hanging="482"/>
              <w:jc w:val="left"/>
            </w:pPr>
            <w:r>
              <w:rPr>
                <w:rFonts w:hint="eastAsia" w:ascii="仿宋" w:hAnsi="仿宋" w:eastAsia="仿宋" w:cs="仿宋"/>
                <w:b/>
                <w:bCs/>
                <w:color w:val="010101"/>
                <w:kern w:val="0"/>
                <w:sz w:val="32"/>
                <w:szCs w:val="32"/>
                <w:lang w:val="en-US" w:eastAsia="zh-CN" w:bidi="ar"/>
              </w:rPr>
              <w:t>收入预算</w:t>
            </w:r>
          </w:p>
        </w:tc>
        <w:tc>
          <w:tcPr>
            <w:tcW w:w="1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725.82</w:t>
            </w:r>
          </w:p>
        </w:tc>
        <w:tc>
          <w:tcPr>
            <w:tcW w:w="19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594.83</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130.99</w:t>
            </w:r>
          </w:p>
        </w:tc>
        <w:tc>
          <w:tcPr>
            <w:tcW w:w="1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hanging="480"/>
              <w:jc w:val="center"/>
            </w:pPr>
            <w:r>
              <w:rPr>
                <w:rFonts w:hint="eastAsia" w:ascii="仿宋" w:hAnsi="仿宋" w:eastAsia="仿宋" w:cs="仿宋"/>
                <w:color w:val="010101"/>
                <w:kern w:val="0"/>
                <w:sz w:val="32"/>
                <w:szCs w:val="32"/>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5" w:hRule="atLeast"/>
          <w:jc w:val="center"/>
        </w:trPr>
        <w:tc>
          <w:tcPr>
            <w:tcW w:w="20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hanging="480"/>
              <w:jc w:val="left"/>
            </w:pPr>
            <w:r>
              <w:rPr>
                <w:rFonts w:hint="eastAsia" w:ascii="仿宋" w:hAnsi="仿宋" w:eastAsia="仿宋" w:cs="仿宋"/>
                <w:color w:val="010101"/>
                <w:kern w:val="0"/>
                <w:sz w:val="32"/>
                <w:szCs w:val="32"/>
                <w:lang w:val="en-US" w:eastAsia="zh-CN" w:bidi="ar"/>
              </w:rPr>
              <w:t>其中：财政经费拨款</w:t>
            </w:r>
          </w:p>
        </w:tc>
        <w:tc>
          <w:tcPr>
            <w:tcW w:w="1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725.82</w:t>
            </w:r>
          </w:p>
        </w:tc>
        <w:tc>
          <w:tcPr>
            <w:tcW w:w="19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pPr>
            <w:r>
              <w:rPr>
                <w:rFonts w:hint="eastAsia" w:ascii="仿宋" w:hAnsi="仿宋" w:eastAsia="仿宋" w:cs="仿宋"/>
                <w:color w:val="010101"/>
                <w:kern w:val="0"/>
                <w:sz w:val="32"/>
                <w:szCs w:val="32"/>
                <w:lang w:val="en-US" w:eastAsia="zh-CN" w:bidi="ar"/>
              </w:rPr>
              <w:t>594.83</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130.99</w:t>
            </w:r>
          </w:p>
        </w:tc>
        <w:tc>
          <w:tcPr>
            <w:tcW w:w="1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hanging="480"/>
              <w:jc w:val="center"/>
            </w:pPr>
            <w:r>
              <w:rPr>
                <w:rFonts w:hint="eastAsia" w:ascii="仿宋" w:hAnsi="仿宋" w:eastAsia="仿宋" w:cs="仿宋"/>
                <w:color w:val="010101"/>
                <w:kern w:val="0"/>
                <w:sz w:val="32"/>
                <w:szCs w:val="32"/>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2" w:hRule="atLeast"/>
          <w:jc w:val="center"/>
        </w:trPr>
        <w:tc>
          <w:tcPr>
            <w:tcW w:w="20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hanging="482"/>
              <w:jc w:val="left"/>
            </w:pPr>
            <w:r>
              <w:rPr>
                <w:rFonts w:hint="eastAsia" w:ascii="仿宋" w:hAnsi="仿宋" w:eastAsia="仿宋" w:cs="仿宋"/>
                <w:b/>
                <w:bCs/>
                <w:color w:val="010101"/>
                <w:kern w:val="0"/>
                <w:sz w:val="32"/>
                <w:szCs w:val="32"/>
                <w:lang w:val="en-US" w:eastAsia="zh-CN" w:bidi="ar"/>
              </w:rPr>
              <w:t>支出预算</w:t>
            </w:r>
          </w:p>
        </w:tc>
        <w:tc>
          <w:tcPr>
            <w:tcW w:w="1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725.82</w:t>
            </w:r>
          </w:p>
        </w:tc>
        <w:tc>
          <w:tcPr>
            <w:tcW w:w="19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pPr>
            <w:r>
              <w:rPr>
                <w:rFonts w:hint="eastAsia" w:ascii="仿宋" w:hAnsi="仿宋" w:eastAsia="仿宋" w:cs="仿宋"/>
                <w:color w:val="010101"/>
                <w:kern w:val="0"/>
                <w:sz w:val="32"/>
                <w:szCs w:val="32"/>
                <w:lang w:val="en-US" w:eastAsia="zh-CN" w:bidi="ar"/>
              </w:rPr>
              <w:t>594.83</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pPr>
            <w:r>
              <w:rPr>
                <w:rFonts w:hint="eastAsia" w:ascii="仿宋" w:hAnsi="仿宋" w:eastAsia="仿宋" w:cs="仿宋"/>
                <w:color w:val="010101"/>
                <w:kern w:val="0"/>
                <w:sz w:val="32"/>
                <w:szCs w:val="32"/>
                <w:lang w:val="en-US" w:eastAsia="zh-CN" w:bidi="ar"/>
              </w:rPr>
              <w:t>130.99</w:t>
            </w:r>
          </w:p>
        </w:tc>
        <w:tc>
          <w:tcPr>
            <w:tcW w:w="1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hanging="480"/>
              <w:jc w:val="center"/>
            </w:pPr>
            <w:r>
              <w:rPr>
                <w:rFonts w:hint="eastAsia" w:ascii="仿宋" w:hAnsi="仿宋" w:eastAsia="仿宋" w:cs="仿宋"/>
                <w:color w:val="010101"/>
                <w:kern w:val="0"/>
                <w:sz w:val="32"/>
                <w:szCs w:val="32"/>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2" w:hRule="atLeast"/>
          <w:jc w:val="center"/>
        </w:trPr>
        <w:tc>
          <w:tcPr>
            <w:tcW w:w="20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hanging="480"/>
              <w:jc w:val="left"/>
            </w:pPr>
            <w:r>
              <w:rPr>
                <w:rFonts w:hint="eastAsia" w:ascii="仿宋" w:hAnsi="仿宋" w:eastAsia="仿宋" w:cs="仿宋"/>
                <w:color w:val="010101"/>
                <w:kern w:val="0"/>
                <w:sz w:val="32"/>
                <w:szCs w:val="32"/>
                <w:lang w:val="en-US" w:eastAsia="zh-CN" w:bidi="ar"/>
              </w:rPr>
              <w:t>其中：基本支出</w:t>
            </w:r>
          </w:p>
        </w:tc>
        <w:tc>
          <w:tcPr>
            <w:tcW w:w="162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rPr>
                <w:rFonts w:hint="default"/>
                <w:lang w:val="en-US"/>
              </w:rPr>
            </w:pPr>
            <w:r>
              <w:rPr>
                <w:rFonts w:hint="eastAsia" w:ascii="仿宋" w:hAnsi="仿宋" w:eastAsia="仿宋" w:cs="仿宋"/>
                <w:color w:val="010101"/>
                <w:kern w:val="0"/>
                <w:sz w:val="32"/>
                <w:szCs w:val="32"/>
                <w:lang w:val="en-US" w:eastAsia="zh-CN" w:bidi="ar"/>
              </w:rPr>
              <w:t>725.82</w:t>
            </w:r>
          </w:p>
        </w:tc>
        <w:tc>
          <w:tcPr>
            <w:tcW w:w="195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pPr>
            <w:r>
              <w:rPr>
                <w:rFonts w:hint="eastAsia" w:ascii="仿宋" w:hAnsi="仿宋" w:eastAsia="仿宋" w:cs="仿宋"/>
                <w:color w:val="010101"/>
                <w:kern w:val="0"/>
                <w:sz w:val="32"/>
                <w:szCs w:val="32"/>
                <w:lang w:val="en-US" w:eastAsia="zh-CN" w:bidi="ar"/>
              </w:rPr>
              <w:t>594.83</w:t>
            </w:r>
          </w:p>
        </w:tc>
        <w:tc>
          <w:tcPr>
            <w:tcW w:w="161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126" w:hanging="480"/>
              <w:jc w:val="right"/>
            </w:pPr>
            <w:r>
              <w:rPr>
                <w:rFonts w:hint="eastAsia" w:ascii="仿宋" w:hAnsi="仿宋" w:eastAsia="仿宋" w:cs="仿宋"/>
                <w:color w:val="010101"/>
                <w:kern w:val="0"/>
                <w:sz w:val="32"/>
                <w:szCs w:val="32"/>
                <w:lang w:val="en-US" w:eastAsia="zh-CN" w:bidi="ar"/>
              </w:rPr>
              <w:t>130.99</w:t>
            </w:r>
          </w:p>
        </w:tc>
        <w:tc>
          <w:tcPr>
            <w:tcW w:w="198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hanging="480"/>
              <w:jc w:val="center"/>
            </w:pPr>
            <w:r>
              <w:rPr>
                <w:rFonts w:hint="eastAsia" w:ascii="仿宋" w:hAnsi="仿宋" w:eastAsia="仿宋" w:cs="仿宋"/>
                <w:color w:val="010101"/>
                <w:kern w:val="0"/>
                <w:sz w:val="32"/>
                <w:szCs w:val="32"/>
                <w:lang w:val="en-US" w:eastAsia="zh-CN" w:bidi="ar"/>
              </w:rPr>
              <w:t>22%</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根据年初预算批复，与上年比较，较上年增加130.99万元，原因是按政策要求增加了项目经费和</w:t>
      </w:r>
      <w:r>
        <w:rPr>
          <w:rFonts w:hint="eastAsia" w:ascii="仿宋_GB2312" w:hAnsi="仿宋" w:eastAsia="仿宋_GB2312"/>
          <w:sz w:val="32"/>
          <w:szCs w:val="32"/>
          <w:u w:val="none"/>
          <w:lang w:val="en-US" w:eastAsia="zh-CN"/>
        </w:rPr>
        <w:t>“四险两金”数增加</w:t>
      </w:r>
      <w:r>
        <w:rPr>
          <w:rFonts w:hint="eastAsia" w:ascii="仿宋" w:hAnsi="仿宋" w:eastAsia="仿宋" w:cs="仿宋"/>
          <w:i w:val="0"/>
          <w:iCs w:val="0"/>
          <w:caps w:val="0"/>
          <w:color w:val="1E1E1E"/>
          <w:spacing w:val="0"/>
          <w:kern w:val="0"/>
          <w:sz w:val="32"/>
          <w:szCs w:val="32"/>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2.财政预算整体支出使用范围、方向和内容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本部门基本支出的范围和主要用途包括镇机关的人员经费和日常公用经费及基本业务工作支出。具体包括：工资福利支出、对个人和家族的补助、商品和服务支出、其他资本性支出。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178" w:right="0" w:firstLine="480"/>
        <w:jc w:val="left"/>
      </w:pPr>
      <w:r>
        <w:rPr>
          <w:rFonts w:hint="eastAsia" w:ascii="仿宋" w:hAnsi="仿宋" w:eastAsia="仿宋" w:cs="仿宋"/>
          <w:i w:val="0"/>
          <w:iCs w:val="0"/>
          <w:caps w:val="0"/>
          <w:color w:val="1E1E1E"/>
          <w:spacing w:val="0"/>
          <w:kern w:val="0"/>
          <w:sz w:val="32"/>
          <w:szCs w:val="32"/>
          <w:lang w:val="en-US" w:eastAsia="zh-CN" w:bidi="ar"/>
        </w:rPr>
        <w:t>根据年初预算、预算调整及使用了未纳入年初预算资金后，我镇2021年度一般公共预算支出情况：（金额：万元）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6" w:right="0" w:firstLine="0"/>
        <w:jc w:val="left"/>
      </w:pPr>
      <w:r>
        <w:rPr>
          <w:rFonts w:hint="eastAsia" w:ascii="仿宋" w:hAnsi="仿宋" w:eastAsia="仿宋" w:cs="仿宋"/>
          <w:i w:val="0"/>
          <w:iCs w:val="0"/>
          <w:caps w:val="0"/>
          <w:color w:val="1E1E1E"/>
          <w:spacing w:val="0"/>
          <w:kern w:val="0"/>
          <w:sz w:val="32"/>
          <w:szCs w:val="32"/>
          <w:lang w:val="en-US" w:eastAsia="zh-CN" w:bidi="ar"/>
        </w:rPr>
        <w:t> </w:t>
      </w:r>
    </w:p>
    <w:tbl>
      <w:tblPr>
        <w:tblStyle w:val="10"/>
        <w:tblW w:w="79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122"/>
        <w:gridCol w:w="3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6" w:hRule="atLeast"/>
          <w:jc w:val="center"/>
        </w:trPr>
        <w:tc>
          <w:tcPr>
            <w:tcW w:w="412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支出项目</w:t>
            </w:r>
          </w:p>
        </w:tc>
        <w:tc>
          <w:tcPr>
            <w:tcW w:w="3795"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41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工资福利支出</w:t>
            </w:r>
          </w:p>
        </w:tc>
        <w:tc>
          <w:tcPr>
            <w:tcW w:w="3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ascii="仿宋" w:hAnsi="仿宋" w:eastAsia="仿宋" w:cs="仿宋"/>
                <w:color w:val="000000"/>
                <w:kern w:val="0"/>
                <w:sz w:val="21"/>
                <w:szCs w:val="21"/>
                <w:lang w:val="en-US" w:eastAsia="zh-CN" w:bidi="ar"/>
              </w:rPr>
              <w:t>411.54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41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商品和服务支出</w:t>
            </w:r>
          </w:p>
        </w:tc>
        <w:tc>
          <w:tcPr>
            <w:tcW w:w="3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ascii="仿宋" w:hAnsi="仿宋" w:eastAsia="仿宋" w:cs="仿宋"/>
                <w:color w:val="000000"/>
                <w:kern w:val="0"/>
                <w:sz w:val="21"/>
                <w:szCs w:val="21"/>
                <w:lang w:val="en-US" w:eastAsia="zh-CN" w:bidi="ar"/>
              </w:rPr>
              <w:t>623.18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41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对个人和家庭的补助</w:t>
            </w:r>
          </w:p>
        </w:tc>
        <w:tc>
          <w:tcPr>
            <w:tcW w:w="3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ascii="仿宋" w:hAnsi="仿宋" w:eastAsia="仿宋" w:cs="仿宋"/>
                <w:color w:val="000000"/>
                <w:kern w:val="0"/>
                <w:sz w:val="21"/>
                <w:szCs w:val="21"/>
                <w:lang w:val="en-US" w:eastAsia="zh-CN" w:bidi="ar"/>
              </w:rPr>
              <w:t>260.84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41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资本性支出</w:t>
            </w:r>
          </w:p>
        </w:tc>
        <w:tc>
          <w:tcPr>
            <w:tcW w:w="37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ascii="仿宋" w:hAnsi="仿宋" w:eastAsia="仿宋" w:cs="仿宋"/>
                <w:color w:val="000000"/>
                <w:kern w:val="0"/>
                <w:sz w:val="21"/>
                <w:szCs w:val="21"/>
                <w:lang w:val="en-US" w:eastAsia="zh-CN" w:bidi="ar"/>
              </w:rPr>
              <w:t>75.13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412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合 计</w:t>
            </w:r>
          </w:p>
        </w:tc>
        <w:tc>
          <w:tcPr>
            <w:tcW w:w="3795"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ascii="仿宋" w:hAnsi="仿宋" w:eastAsia="仿宋" w:cs="仿宋"/>
                <w:color w:val="000000"/>
                <w:kern w:val="0"/>
                <w:sz w:val="21"/>
                <w:szCs w:val="21"/>
                <w:lang w:val="en-US" w:eastAsia="zh-CN" w:bidi="ar"/>
              </w:rPr>
              <w:t>1370.69</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（二）年度收支决算情况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1.年度收入决算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jc w:val="left"/>
      </w:pPr>
      <w:r>
        <w:rPr>
          <w:rFonts w:hint="eastAsia" w:ascii="仿宋" w:hAnsi="仿宋" w:eastAsia="仿宋" w:cs="仿宋"/>
          <w:i w:val="0"/>
          <w:iCs w:val="0"/>
          <w:caps w:val="0"/>
          <w:color w:val="1E1E1E"/>
          <w:spacing w:val="0"/>
          <w:kern w:val="0"/>
          <w:sz w:val="32"/>
          <w:szCs w:val="32"/>
          <w:lang w:val="en-US" w:eastAsia="zh-CN" w:bidi="ar"/>
        </w:rPr>
        <w:t> </w:t>
      </w: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63"/>
        <w:gridCol w:w="1693"/>
        <w:gridCol w:w="1820"/>
        <w:gridCol w:w="2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4" w:hRule="atLeast"/>
          <w:jc w:val="center"/>
        </w:trPr>
        <w:tc>
          <w:tcPr>
            <w:tcW w:w="206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收入来源</w:t>
            </w:r>
          </w:p>
        </w:tc>
        <w:tc>
          <w:tcPr>
            <w:tcW w:w="169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预算金额</w:t>
            </w:r>
          </w:p>
        </w:tc>
        <w:tc>
          <w:tcPr>
            <w:tcW w:w="1820"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决算金额</w:t>
            </w:r>
          </w:p>
        </w:tc>
        <w:tc>
          <w:tcPr>
            <w:tcW w:w="226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财政拨款收入</w:t>
            </w:r>
          </w:p>
        </w:tc>
        <w:tc>
          <w:tcPr>
            <w:tcW w:w="169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725.82</w:t>
            </w:r>
          </w:p>
        </w:tc>
        <w:tc>
          <w:tcPr>
            <w:tcW w:w="182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1370.69</w:t>
            </w:r>
          </w:p>
        </w:tc>
        <w:tc>
          <w:tcPr>
            <w:tcW w:w="226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644.87</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74" w:right="0" w:firstLine="640"/>
        <w:jc w:val="left"/>
      </w:pPr>
      <w:r>
        <w:rPr>
          <w:rFonts w:hint="eastAsia" w:ascii="仿宋" w:hAnsi="仿宋" w:eastAsia="仿宋" w:cs="仿宋"/>
          <w:i w:val="0"/>
          <w:iCs w:val="0"/>
          <w:caps w:val="0"/>
          <w:color w:val="1E1E1E"/>
          <w:spacing w:val="0"/>
          <w:kern w:val="0"/>
          <w:sz w:val="32"/>
          <w:szCs w:val="32"/>
          <w:lang w:val="en-US" w:eastAsia="zh-CN" w:bidi="ar"/>
        </w:rPr>
        <w:t>年初预算金额与决算金额相差644.87万元，是因为单位使用了未纳入年初预算资金安排了支出，导致支出数比年初预算数大。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2. 年度预算支出决算及结余。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584" w:right="0" w:firstLine="0"/>
        <w:jc w:val="left"/>
      </w:pPr>
      <w:r>
        <w:rPr>
          <w:rFonts w:hint="eastAsia" w:ascii="仿宋" w:hAnsi="仿宋" w:eastAsia="仿宋" w:cs="仿宋"/>
          <w:i w:val="0"/>
          <w:iCs w:val="0"/>
          <w:caps w:val="0"/>
          <w:color w:val="1E1E1E"/>
          <w:spacing w:val="0"/>
          <w:kern w:val="0"/>
          <w:sz w:val="32"/>
          <w:szCs w:val="32"/>
          <w:lang w:val="en-US" w:eastAsia="zh-CN" w:bidi="ar"/>
        </w:rPr>
        <w:t>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39"/>
        <w:gridCol w:w="2268"/>
        <w:gridCol w:w="1984"/>
        <w:gridCol w:w="1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7" w:hRule="atLeast"/>
        </w:trPr>
        <w:tc>
          <w:tcPr>
            <w:tcW w:w="1739"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预算支出类别</w:t>
            </w:r>
          </w:p>
        </w:tc>
        <w:tc>
          <w:tcPr>
            <w:tcW w:w="2268"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预算金额</w:t>
            </w:r>
          </w:p>
        </w:tc>
        <w:tc>
          <w:tcPr>
            <w:tcW w:w="1984"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决算金额</w:t>
            </w:r>
          </w:p>
        </w:tc>
        <w:tc>
          <w:tcPr>
            <w:tcW w:w="1962"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增减金额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739"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基本支出</w:t>
            </w:r>
          </w:p>
        </w:tc>
        <w:tc>
          <w:tcPr>
            <w:tcW w:w="22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rPr>
                <w:rFonts w:hint="default"/>
                <w:lang w:val="en-US"/>
              </w:rPr>
            </w:pPr>
            <w:r>
              <w:rPr>
                <w:rFonts w:hint="eastAsia" w:ascii="仿宋" w:hAnsi="仿宋" w:eastAsia="仿宋" w:cs="仿宋"/>
                <w:color w:val="000000"/>
                <w:kern w:val="0"/>
                <w:sz w:val="21"/>
                <w:szCs w:val="21"/>
                <w:lang w:val="en-US" w:eastAsia="zh-CN" w:bidi="ar"/>
              </w:rPr>
              <w:t>446.56</w:t>
            </w:r>
          </w:p>
        </w:tc>
        <w:tc>
          <w:tcPr>
            <w:tcW w:w="198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rPr>
                <w:rFonts w:hint="default"/>
                <w:lang w:val="en-US"/>
              </w:rPr>
            </w:pPr>
            <w:r>
              <w:rPr>
                <w:rFonts w:hint="eastAsia" w:ascii="仿宋" w:hAnsi="仿宋" w:eastAsia="仿宋" w:cs="仿宋"/>
                <w:color w:val="000000"/>
                <w:kern w:val="0"/>
                <w:sz w:val="21"/>
                <w:szCs w:val="21"/>
                <w:lang w:val="en-US" w:eastAsia="zh-CN" w:bidi="ar"/>
              </w:rPr>
              <w:t>501.8</w:t>
            </w:r>
          </w:p>
        </w:tc>
        <w:tc>
          <w:tcPr>
            <w:tcW w:w="196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55.24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trPr>
        <w:tc>
          <w:tcPr>
            <w:tcW w:w="1739"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项目支出</w:t>
            </w:r>
          </w:p>
        </w:tc>
        <w:tc>
          <w:tcPr>
            <w:tcW w:w="22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279.26</w:t>
            </w:r>
          </w:p>
        </w:tc>
        <w:tc>
          <w:tcPr>
            <w:tcW w:w="198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868.89</w:t>
            </w:r>
          </w:p>
        </w:tc>
        <w:tc>
          <w:tcPr>
            <w:tcW w:w="1962"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589.63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1739"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小计</w:t>
            </w:r>
          </w:p>
        </w:tc>
        <w:tc>
          <w:tcPr>
            <w:tcW w:w="2268"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ascii="仿宋" w:hAnsi="仿宋" w:eastAsia="仿宋" w:cs="仿宋"/>
                <w:color w:val="000000"/>
                <w:kern w:val="0"/>
                <w:sz w:val="21"/>
                <w:szCs w:val="21"/>
                <w:lang w:val="en-US" w:eastAsia="zh-CN" w:bidi="ar"/>
              </w:rPr>
              <w:t>725.82</w:t>
            </w:r>
          </w:p>
        </w:tc>
        <w:tc>
          <w:tcPr>
            <w:tcW w:w="1984"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ascii="仿宋" w:hAnsi="仿宋" w:eastAsia="仿宋" w:cs="仿宋"/>
                <w:color w:val="000000"/>
                <w:kern w:val="0"/>
                <w:sz w:val="21"/>
                <w:szCs w:val="21"/>
                <w:lang w:val="en-US" w:eastAsia="zh-CN" w:bidi="ar"/>
              </w:rPr>
              <w:t>1370.69</w:t>
            </w:r>
          </w:p>
        </w:tc>
        <w:tc>
          <w:tcPr>
            <w:tcW w:w="1962"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ascii="仿宋" w:hAnsi="仿宋" w:eastAsia="仿宋" w:cs="仿宋"/>
                <w:color w:val="000000"/>
                <w:kern w:val="0"/>
                <w:sz w:val="21"/>
                <w:szCs w:val="21"/>
                <w:lang w:val="en-US" w:eastAsia="zh-CN" w:bidi="ar"/>
              </w:rPr>
              <w:t>644.87</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3" w:firstLineChars="200"/>
        <w:jc w:val="left"/>
        <w:rPr>
          <w:b/>
          <w:bCs/>
        </w:rPr>
      </w:pPr>
      <w:r>
        <w:rPr>
          <w:rFonts w:hint="eastAsia" w:ascii="仿宋" w:hAnsi="仿宋" w:eastAsia="仿宋" w:cs="仿宋"/>
          <w:b/>
          <w:bCs/>
          <w:i w:val="0"/>
          <w:iCs w:val="0"/>
          <w:caps w:val="0"/>
          <w:color w:val="1E1E1E"/>
          <w:spacing w:val="0"/>
          <w:kern w:val="0"/>
          <w:sz w:val="32"/>
          <w:szCs w:val="32"/>
          <w:lang w:val="en-US" w:eastAsia="zh-CN" w:bidi="ar"/>
        </w:rPr>
        <w:t>三、部门整体支出管理及使用情况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both"/>
      </w:pPr>
      <w:r>
        <w:rPr>
          <w:rFonts w:hint="eastAsia" w:ascii="仿宋" w:hAnsi="仿宋" w:eastAsia="仿宋" w:cs="仿宋"/>
          <w:b w:val="0"/>
          <w:bCs w:val="0"/>
          <w:i w:val="0"/>
          <w:iCs w:val="0"/>
          <w:caps w:val="0"/>
          <w:color w:val="1E1E1E"/>
          <w:spacing w:val="0"/>
          <w:sz w:val="32"/>
          <w:szCs w:val="32"/>
        </w:rPr>
        <w:t>（一）基本支出管理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pPr>
      <w:r>
        <w:rPr>
          <w:rFonts w:hint="eastAsia" w:ascii="仿宋" w:hAnsi="仿宋" w:eastAsia="仿宋" w:cs="仿宋"/>
          <w:b w:val="0"/>
          <w:bCs w:val="0"/>
          <w:i w:val="0"/>
          <w:iCs w:val="0"/>
          <w:caps w:val="0"/>
          <w:color w:val="1E1E1E"/>
          <w:spacing w:val="0"/>
          <w:sz w:val="32"/>
          <w:szCs w:val="32"/>
        </w:rPr>
        <w:t>1、基本支出总额使用和管理</w:t>
      </w: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392"/>
        <w:gridCol w:w="1666"/>
        <w:gridCol w:w="1604"/>
        <w:gridCol w:w="2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1" w:hRule="atLeast"/>
          <w:jc w:val="center"/>
        </w:trPr>
        <w:tc>
          <w:tcPr>
            <w:tcW w:w="239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 预决算支出项目</w:t>
            </w:r>
          </w:p>
        </w:tc>
        <w:tc>
          <w:tcPr>
            <w:tcW w:w="166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预算金额</w:t>
            </w:r>
          </w:p>
        </w:tc>
        <w:tc>
          <w:tcPr>
            <w:tcW w:w="160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决算金额</w:t>
            </w:r>
          </w:p>
        </w:tc>
        <w:tc>
          <w:tcPr>
            <w:tcW w:w="243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节约/超支金额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工资福利支出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仿宋" w:hAnsi="仿宋" w:eastAsia="仿宋" w:cs="仿宋"/>
                <w:color w:val="000000"/>
                <w:kern w:val="0"/>
                <w:sz w:val="21"/>
                <w:szCs w:val="21"/>
                <w:lang w:val="en-US" w:eastAsia="zh-CN" w:bidi="ar"/>
              </w:rPr>
              <w:t>390.28</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ascii="仿宋" w:hAnsi="仿宋" w:eastAsia="仿宋" w:cs="仿宋"/>
                <w:color w:val="000000"/>
                <w:kern w:val="0"/>
                <w:sz w:val="21"/>
                <w:szCs w:val="21"/>
                <w:lang w:val="en-US" w:eastAsia="zh-CN" w:bidi="ar"/>
              </w:rPr>
              <w:t>401.94</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11.66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商品和服务支出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eastAsiaTheme="minorEastAsia"/>
                <w:lang w:val="en-US" w:eastAsia="zh-CN"/>
              </w:rPr>
            </w:pPr>
            <w:r>
              <w:rPr>
                <w:rFonts w:hint="eastAsia" w:ascii="仿宋" w:hAnsi="仿宋" w:eastAsia="仿宋" w:cs="仿宋"/>
                <w:color w:val="000000"/>
                <w:kern w:val="0"/>
                <w:sz w:val="21"/>
                <w:szCs w:val="21"/>
                <w:lang w:val="en-US" w:eastAsia="zh-CN" w:bidi="ar"/>
              </w:rPr>
              <w:t>49.79</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ascii="仿宋" w:hAnsi="仿宋" w:eastAsia="仿宋" w:cs="仿宋"/>
                <w:color w:val="000000"/>
                <w:kern w:val="0"/>
                <w:sz w:val="21"/>
                <w:szCs w:val="21"/>
                <w:lang w:val="en-US" w:eastAsia="zh-CN" w:bidi="ar"/>
              </w:rPr>
              <w:t>89.19</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eastAsiaTheme="minorEastAsia"/>
                <w:lang w:val="en-US" w:eastAsia="zh-CN"/>
              </w:rPr>
            </w:pPr>
            <w:r>
              <w:rPr>
                <w:rFonts w:hint="eastAsia"/>
                <w:lang w:val="en-US" w:eastAsia="zh-CN"/>
              </w:rPr>
              <w:t>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对个人和家庭的补助</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3.91</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ascii="仿宋" w:hAnsi="仿宋" w:eastAsia="仿宋" w:cs="仿宋"/>
                <w:color w:val="000000"/>
                <w:kern w:val="0"/>
                <w:sz w:val="21"/>
                <w:szCs w:val="21"/>
                <w:lang w:val="en-US" w:eastAsia="zh-CN" w:bidi="ar"/>
              </w:rPr>
              <w:t>8.65</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资本性支出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2.58</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pPr>
            <w:r>
              <w:rPr>
                <w:rFonts w:hint="eastAsia"/>
                <w:lang w:val="en-US" w:eastAsia="zh-CN"/>
              </w:rPr>
              <w:t>2.02</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239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合计</w:t>
            </w:r>
          </w:p>
        </w:tc>
        <w:tc>
          <w:tcPr>
            <w:tcW w:w="1666"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446.56</w:t>
            </w:r>
          </w:p>
        </w:tc>
        <w:tc>
          <w:tcPr>
            <w:tcW w:w="1604"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501.8</w:t>
            </w:r>
          </w:p>
        </w:tc>
        <w:tc>
          <w:tcPr>
            <w:tcW w:w="2438"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55.24</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2、基本支出中各费用明细支出管理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296" w:right="0" w:firstLine="160"/>
        <w:jc w:val="left"/>
      </w:pPr>
      <w:r>
        <w:rPr>
          <w:rFonts w:hint="eastAsia" w:ascii="仿宋" w:hAnsi="仿宋" w:eastAsia="仿宋" w:cs="仿宋"/>
          <w:i w:val="0"/>
          <w:iCs w:val="0"/>
          <w:caps w:val="0"/>
          <w:color w:val="1E1E1E"/>
          <w:spacing w:val="0"/>
          <w:kern w:val="0"/>
          <w:sz w:val="32"/>
          <w:szCs w:val="32"/>
          <w:lang w:val="en-US" w:eastAsia="zh-CN" w:bidi="ar"/>
        </w:rPr>
        <w:t>（1）工资福利支出</w:t>
      </w:r>
    </w:p>
    <w:tbl>
      <w:tblPr>
        <w:tblStyle w:val="10"/>
        <w:tblW w:w="809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1"/>
        <w:gridCol w:w="2169"/>
        <w:gridCol w:w="1728"/>
        <w:gridCol w:w="1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8" w:hRule="atLeast"/>
          <w:jc w:val="center"/>
        </w:trPr>
        <w:tc>
          <w:tcPr>
            <w:tcW w:w="2431"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费用项目</w:t>
            </w:r>
          </w:p>
        </w:tc>
        <w:tc>
          <w:tcPr>
            <w:tcW w:w="2169" w:type="dxa"/>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预算金额</w:t>
            </w:r>
          </w:p>
        </w:tc>
        <w:tc>
          <w:tcPr>
            <w:tcW w:w="1728" w:type="dxa"/>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决算金额</w:t>
            </w:r>
          </w:p>
        </w:tc>
        <w:tc>
          <w:tcPr>
            <w:tcW w:w="1764" w:type="dxa"/>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节约/超支额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基本工资</w:t>
            </w:r>
          </w:p>
        </w:tc>
        <w:tc>
          <w:tcPr>
            <w:tcW w:w="21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136.43</w:t>
            </w:r>
          </w:p>
        </w:tc>
        <w:tc>
          <w:tcPr>
            <w:tcW w:w="172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141.31</w:t>
            </w:r>
          </w:p>
        </w:tc>
        <w:tc>
          <w:tcPr>
            <w:tcW w:w="17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津贴补贴</w:t>
            </w:r>
          </w:p>
        </w:tc>
        <w:tc>
          <w:tcPr>
            <w:tcW w:w="21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100.7</w:t>
            </w:r>
          </w:p>
        </w:tc>
        <w:tc>
          <w:tcPr>
            <w:tcW w:w="172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120.29</w:t>
            </w:r>
          </w:p>
        </w:tc>
        <w:tc>
          <w:tcPr>
            <w:tcW w:w="17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 19.59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奖金</w:t>
            </w:r>
          </w:p>
        </w:tc>
        <w:tc>
          <w:tcPr>
            <w:tcW w:w="21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6.25</w:t>
            </w:r>
          </w:p>
        </w:tc>
        <w:tc>
          <w:tcPr>
            <w:tcW w:w="172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6.02</w:t>
            </w:r>
          </w:p>
        </w:tc>
        <w:tc>
          <w:tcPr>
            <w:tcW w:w="17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绩效工资</w:t>
            </w:r>
          </w:p>
        </w:tc>
        <w:tc>
          <w:tcPr>
            <w:tcW w:w="21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42.26</w:t>
            </w:r>
          </w:p>
        </w:tc>
        <w:tc>
          <w:tcPr>
            <w:tcW w:w="172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47.73</w:t>
            </w:r>
          </w:p>
        </w:tc>
        <w:tc>
          <w:tcPr>
            <w:tcW w:w="17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社会保障及公积金</w:t>
            </w:r>
          </w:p>
        </w:tc>
        <w:tc>
          <w:tcPr>
            <w:tcW w:w="2169"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104.64</w:t>
            </w:r>
          </w:p>
        </w:tc>
        <w:tc>
          <w:tcPr>
            <w:tcW w:w="172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86.59</w:t>
            </w:r>
          </w:p>
        </w:tc>
        <w:tc>
          <w:tcPr>
            <w:tcW w:w="1764"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 -18.05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jc w:val="center"/>
        </w:trPr>
        <w:tc>
          <w:tcPr>
            <w:tcW w:w="2431"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合计</w:t>
            </w:r>
          </w:p>
        </w:tc>
        <w:tc>
          <w:tcPr>
            <w:tcW w:w="2169"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390.28</w:t>
            </w:r>
          </w:p>
        </w:tc>
        <w:tc>
          <w:tcPr>
            <w:tcW w:w="1728"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401.94</w:t>
            </w:r>
          </w:p>
        </w:tc>
        <w:tc>
          <w:tcPr>
            <w:tcW w:w="1764"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11.66 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2021年奖金、绩效工资、社会保障及公积金等在年初预算范围内。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（2）商品和服务支出 </w:t>
      </w: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305"/>
        <w:gridCol w:w="1605"/>
        <w:gridCol w:w="1644"/>
        <w:gridCol w:w="20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支出项目</w:t>
            </w:r>
          </w:p>
        </w:tc>
        <w:tc>
          <w:tcPr>
            <w:tcW w:w="1605"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预算金额</w:t>
            </w:r>
          </w:p>
        </w:tc>
        <w:tc>
          <w:tcPr>
            <w:tcW w:w="164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决算金额</w:t>
            </w:r>
          </w:p>
        </w:tc>
        <w:tc>
          <w:tcPr>
            <w:tcW w:w="201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增减额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办公费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9.3</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24.38</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 15.08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印刷费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1</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咨询费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0.5</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eastAsia="zh-CN"/>
              </w:rPr>
            </w:pPr>
            <w:r>
              <w:rPr>
                <w:rFonts w:hint="eastAsia"/>
                <w:lang w:val="en-US" w:eastAsia="zh-CN"/>
              </w:rPr>
              <w:t>0.2</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ascii="仿宋" w:hAnsi="仿宋" w:eastAsia="仿宋" w:cs="仿宋"/>
                <w:color w:val="010101"/>
                <w:kern w:val="0"/>
                <w:sz w:val="21"/>
                <w:szCs w:val="21"/>
                <w:lang w:val="en-US" w:eastAsia="zh-CN" w:bidi="ar"/>
              </w:rPr>
            </w:pPr>
            <w:r>
              <w:rPr>
                <w:rFonts w:hint="eastAsia" w:ascii="仿宋" w:hAnsi="仿宋" w:eastAsia="仿宋" w:cs="仿宋"/>
                <w:color w:val="010101"/>
                <w:kern w:val="0"/>
                <w:sz w:val="21"/>
                <w:szCs w:val="21"/>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rPr>
                <w:rFonts w:hint="default"/>
                <w:lang w:val="en-US" w:eastAsia="zh-CN"/>
              </w:rPr>
            </w:pPr>
            <w:r>
              <w:rPr>
                <w:rFonts w:hint="eastAsia"/>
                <w:lang w:val="en-US" w:eastAsia="zh-CN"/>
              </w:rPr>
              <w:t>手续费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rPr>
                <w:rFonts w:hint="default"/>
                <w:lang w:val="en-US" w:eastAsia="zh-CN"/>
              </w:rPr>
            </w:pPr>
            <w:r>
              <w:rPr>
                <w:rFonts w:hint="eastAsia"/>
                <w:lang w:val="en-US" w:eastAsia="zh-CN"/>
              </w:rPr>
              <w:t>0.2</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eastAsia="zh-CN"/>
              </w:rPr>
            </w:pPr>
            <w:r>
              <w:rPr>
                <w:rFonts w:hint="eastAsia"/>
                <w:lang w:val="en-US" w:eastAsia="zh-CN"/>
              </w:rPr>
              <w:t>0</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ascii="仿宋" w:hAnsi="仿宋" w:eastAsia="仿宋" w:cs="仿宋"/>
                <w:color w:val="010101"/>
                <w:kern w:val="0"/>
                <w:sz w:val="21"/>
                <w:szCs w:val="21"/>
                <w:lang w:val="en-US" w:eastAsia="zh-CN" w:bidi="ar"/>
              </w:rPr>
            </w:pPr>
            <w:r>
              <w:rPr>
                <w:rFonts w:hint="eastAsia" w:ascii="仿宋" w:hAnsi="仿宋" w:eastAsia="仿宋" w:cs="仿宋"/>
                <w:color w:val="010101"/>
                <w:kern w:val="0"/>
                <w:sz w:val="21"/>
                <w:szCs w:val="21"/>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水电费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3.91</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3.91 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邮电费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0.6</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0.28</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eastAsiaTheme="minorEastAsia"/>
                <w:lang w:val="en-US" w:eastAsia="zh-CN"/>
              </w:rPr>
            </w:pPr>
            <w:r>
              <w:rPr>
                <w:rFonts w:hint="eastAsia"/>
                <w:lang w:val="en-US" w:eastAsia="zh-CN"/>
              </w:rPr>
              <w:t>取暖费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eastAsiaTheme="minorEastAsia"/>
                <w:lang w:val="en-US" w:eastAsia="zh-CN"/>
              </w:rPr>
            </w:pP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0.21</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差旅费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0.16</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2"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维修（护）费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eastAsiaTheme="minorEastAsia"/>
                <w:lang w:val="en-US" w:eastAsia="zh-CN"/>
              </w:rPr>
            </w:pPr>
            <w:r>
              <w:rPr>
                <w:rFonts w:hint="eastAsia"/>
                <w:lang w:val="en-US" w:eastAsia="zh-CN"/>
              </w:rPr>
              <w:t>2.58</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2.58 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培训费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0.12</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0.12</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劳务费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15.35</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15.35 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工会经费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2.89</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2.8</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3"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ascii="仿宋" w:hAnsi="仿宋" w:eastAsia="仿宋" w:cs="仿宋"/>
                <w:color w:val="010101"/>
                <w:kern w:val="0"/>
                <w:sz w:val="21"/>
                <w:szCs w:val="21"/>
                <w:lang w:val="en-US" w:eastAsia="zh-CN" w:bidi="ar"/>
              </w:rPr>
            </w:pPr>
            <w:r>
              <w:rPr>
                <w:rFonts w:hint="eastAsia" w:ascii="仿宋" w:hAnsi="仿宋" w:eastAsia="仿宋" w:cs="仿宋"/>
                <w:color w:val="010101"/>
                <w:kern w:val="0"/>
                <w:sz w:val="21"/>
                <w:szCs w:val="21"/>
                <w:lang w:val="en-US" w:eastAsia="zh-CN" w:bidi="ar"/>
              </w:rPr>
              <w:t>福利费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ascii="仿宋" w:hAnsi="仿宋" w:eastAsia="仿宋" w:cs="仿宋"/>
                <w:color w:val="010101"/>
                <w:kern w:val="0"/>
                <w:sz w:val="21"/>
                <w:szCs w:val="21"/>
                <w:lang w:val="en-US" w:eastAsia="zh-CN" w:bidi="ar"/>
              </w:rPr>
            </w:pPr>
            <w:r>
              <w:rPr>
                <w:rFonts w:hint="eastAsia" w:ascii="仿宋" w:hAnsi="仿宋" w:eastAsia="仿宋" w:cs="仿宋"/>
                <w:color w:val="010101"/>
                <w:kern w:val="0"/>
                <w:sz w:val="21"/>
                <w:szCs w:val="21"/>
                <w:lang w:val="en-US" w:eastAsia="zh-CN" w:bidi="ar"/>
              </w:rPr>
              <w:t>8.44</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ascii="仿宋" w:hAnsi="仿宋" w:eastAsia="仿宋" w:cs="仿宋"/>
                <w:color w:val="010101"/>
                <w:kern w:val="0"/>
                <w:sz w:val="21"/>
                <w:szCs w:val="21"/>
                <w:lang w:val="en-US" w:eastAsia="zh-CN" w:bidi="ar"/>
              </w:rPr>
            </w:pPr>
            <w:r>
              <w:rPr>
                <w:rFonts w:hint="eastAsia" w:ascii="仿宋" w:hAnsi="仿宋" w:eastAsia="仿宋" w:cs="仿宋"/>
                <w:color w:val="010101"/>
                <w:kern w:val="0"/>
                <w:sz w:val="21"/>
                <w:szCs w:val="21"/>
                <w:lang w:val="en-US" w:eastAsia="zh-CN" w:bidi="ar"/>
              </w:rPr>
              <w:t>7.24</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ascii="仿宋" w:hAnsi="仿宋" w:eastAsia="仿宋" w:cs="仿宋"/>
                <w:color w:val="010101"/>
                <w:kern w:val="0"/>
                <w:sz w:val="21"/>
                <w:szCs w:val="21"/>
                <w:lang w:val="en-US" w:eastAsia="zh-CN" w:bidi="ar"/>
              </w:rPr>
            </w:pPr>
            <w:r>
              <w:rPr>
                <w:rFonts w:hint="eastAsia" w:ascii="仿宋" w:hAnsi="仿宋" w:eastAsia="仿宋" w:cs="仿宋"/>
                <w:color w:val="010101"/>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6"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eastAsia" w:ascii="仿宋" w:hAnsi="仿宋" w:eastAsia="仿宋" w:cs="仿宋"/>
                <w:color w:val="010101"/>
                <w:kern w:val="0"/>
                <w:sz w:val="21"/>
                <w:szCs w:val="21"/>
                <w:lang w:val="en-US" w:eastAsia="zh-CN" w:bidi="ar"/>
              </w:rPr>
            </w:pPr>
            <w:r>
              <w:rPr>
                <w:rFonts w:hint="eastAsia" w:ascii="仿宋" w:hAnsi="仿宋" w:eastAsia="仿宋" w:cs="仿宋"/>
                <w:color w:val="010101"/>
                <w:kern w:val="0"/>
                <w:sz w:val="21"/>
                <w:szCs w:val="21"/>
                <w:lang w:val="en-US" w:eastAsia="zh-CN" w:bidi="ar"/>
              </w:rPr>
              <w:t>公务用车运行维护费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ascii="仿宋" w:hAnsi="仿宋" w:eastAsia="仿宋" w:cs="仿宋"/>
                <w:color w:val="010101"/>
                <w:kern w:val="0"/>
                <w:sz w:val="21"/>
                <w:szCs w:val="21"/>
                <w:lang w:val="en-US" w:eastAsia="zh-CN" w:bidi="ar"/>
              </w:rPr>
            </w:pPr>
            <w:r>
              <w:rPr>
                <w:rFonts w:hint="eastAsia" w:ascii="仿宋" w:hAnsi="仿宋" w:eastAsia="仿宋" w:cs="仿宋"/>
                <w:color w:val="010101"/>
                <w:kern w:val="0"/>
                <w:sz w:val="21"/>
                <w:szCs w:val="21"/>
                <w:lang w:val="en-US" w:eastAsia="zh-CN" w:bidi="ar"/>
              </w:rPr>
              <w:t>8</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ascii="仿宋" w:hAnsi="仿宋" w:eastAsia="仿宋" w:cs="仿宋"/>
                <w:color w:val="010101"/>
                <w:kern w:val="0"/>
                <w:sz w:val="21"/>
                <w:szCs w:val="21"/>
                <w:lang w:val="en-US" w:eastAsia="zh-CN" w:bidi="ar"/>
              </w:rPr>
            </w:pPr>
            <w:r>
              <w:rPr>
                <w:rFonts w:hint="eastAsia" w:ascii="仿宋" w:hAnsi="仿宋" w:eastAsia="仿宋" w:cs="仿宋"/>
                <w:color w:val="010101"/>
                <w:kern w:val="0"/>
                <w:sz w:val="21"/>
                <w:szCs w:val="21"/>
                <w:lang w:val="en-US" w:eastAsia="zh-CN" w:bidi="ar"/>
              </w:rPr>
              <w:t>4.67</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ascii="仿宋" w:hAnsi="仿宋" w:eastAsia="仿宋" w:cs="仿宋"/>
                <w:color w:val="010101"/>
                <w:kern w:val="0"/>
                <w:sz w:val="21"/>
                <w:szCs w:val="21"/>
                <w:lang w:val="en-US" w:eastAsia="zh-CN" w:bidi="ar"/>
              </w:rPr>
            </w:pPr>
            <w:r>
              <w:rPr>
                <w:rFonts w:hint="eastAsia" w:ascii="仿宋" w:hAnsi="仿宋" w:eastAsia="仿宋" w:cs="仿宋"/>
                <w:color w:val="010101"/>
                <w:kern w:val="0"/>
                <w:sz w:val="21"/>
                <w:szCs w:val="21"/>
                <w:lang w:val="en-US" w:eastAsia="zh-CN" w:bidi="ar"/>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6"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其他交通费</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19.74</w:t>
            </w: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eastAsiaTheme="minorEastAsia"/>
                <w:lang w:val="en-US" w:eastAsia="zh-CN"/>
              </w:rPr>
            </w:pPr>
            <w:r>
              <w:rPr>
                <w:rFonts w:hint="eastAsia"/>
                <w:lang w:val="en-US" w:eastAsia="zh-CN"/>
              </w:rPr>
              <w:t>23.9</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4.16 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52" w:hRule="atLeast"/>
          <w:jc w:val="center"/>
        </w:trPr>
        <w:tc>
          <w:tcPr>
            <w:tcW w:w="230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其他商品和服务支出</w:t>
            </w:r>
          </w:p>
        </w:tc>
        <w:tc>
          <w:tcPr>
            <w:tcW w:w="1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p>
        </w:tc>
        <w:tc>
          <w:tcPr>
            <w:tcW w:w="164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2.39</w:t>
            </w:r>
          </w:p>
        </w:tc>
        <w:tc>
          <w:tcPr>
            <w:tcW w:w="20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jc w:val="center"/>
        </w:trPr>
        <w:tc>
          <w:tcPr>
            <w:tcW w:w="2305" w:type="dxa"/>
            <w:tcBorders>
              <w:top w:val="nil"/>
              <w:left w:val="single" w:color="auto" w:sz="8" w:space="0"/>
              <w:bottom w:val="nil"/>
              <w:right w:val="single" w:color="auto" w:sz="8" w:space="0"/>
            </w:tcBorders>
            <w:shd w:val="clear" w:color="auto" w:fill="C0C0C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合计</w:t>
            </w:r>
          </w:p>
        </w:tc>
        <w:tc>
          <w:tcPr>
            <w:tcW w:w="1605" w:type="dxa"/>
            <w:tcBorders>
              <w:top w:val="nil"/>
              <w:left w:val="nil"/>
              <w:bottom w:val="nil"/>
              <w:right w:val="single" w:color="auto" w:sz="8" w:space="0"/>
            </w:tcBorders>
            <w:shd w:val="clear" w:color="auto" w:fill="C0C0C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49.79</w:t>
            </w:r>
          </w:p>
        </w:tc>
        <w:tc>
          <w:tcPr>
            <w:tcW w:w="1644" w:type="dxa"/>
            <w:tcBorders>
              <w:top w:val="nil"/>
              <w:left w:val="nil"/>
              <w:bottom w:val="nil"/>
              <w:right w:val="single" w:color="auto" w:sz="8" w:space="0"/>
            </w:tcBorders>
            <w:shd w:val="clear" w:color="auto" w:fill="C0C0C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89.19</w:t>
            </w:r>
          </w:p>
        </w:tc>
        <w:tc>
          <w:tcPr>
            <w:tcW w:w="2013" w:type="dxa"/>
            <w:tcBorders>
              <w:top w:val="nil"/>
              <w:left w:val="nil"/>
              <w:bottom w:val="nil"/>
              <w:right w:val="single" w:color="auto" w:sz="8" w:space="0"/>
            </w:tcBorders>
            <w:shd w:val="clear" w:color="auto" w:fill="C0C0C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39.46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305" w:type="dxa"/>
            <w:tcBorders>
              <w:top w:val="nil"/>
              <w:left w:val="single" w:color="auto" w:sz="8" w:space="0"/>
              <w:bottom w:val="single" w:color="auto" w:sz="8" w:space="0"/>
              <w:right w:val="single" w:color="auto" w:sz="8" w:space="0"/>
            </w:tcBorders>
            <w:shd w:val="clear" w:color="auto" w:fill="C0C0C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149" w:right="0" w:hanging="149"/>
              <w:jc w:val="left"/>
            </w:pPr>
            <w:r>
              <w:rPr>
                <w:rFonts w:hint="eastAsia" w:ascii="仿宋" w:hAnsi="仿宋" w:eastAsia="仿宋" w:cs="仿宋"/>
                <w:color w:val="010101"/>
                <w:kern w:val="0"/>
                <w:sz w:val="21"/>
                <w:szCs w:val="21"/>
                <w:lang w:val="en-US" w:eastAsia="zh-CN" w:bidi="ar"/>
              </w:rPr>
              <w:t> </w:t>
            </w:r>
          </w:p>
        </w:tc>
        <w:tc>
          <w:tcPr>
            <w:tcW w:w="1605" w:type="dxa"/>
            <w:tcBorders>
              <w:top w:val="nil"/>
              <w:left w:val="nil"/>
              <w:bottom w:val="single" w:color="auto" w:sz="8" w:space="0"/>
              <w:right w:val="single" w:color="auto" w:sz="8" w:space="0"/>
            </w:tcBorders>
            <w:shd w:val="clear" w:color="auto" w:fill="C0C0C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644" w:type="dxa"/>
            <w:tcBorders>
              <w:top w:val="nil"/>
              <w:left w:val="nil"/>
              <w:bottom w:val="single" w:color="auto" w:sz="8" w:space="0"/>
              <w:right w:val="single" w:color="auto" w:sz="8" w:space="0"/>
            </w:tcBorders>
            <w:shd w:val="clear" w:color="auto" w:fill="C0C0C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2013" w:type="dxa"/>
            <w:tcBorders>
              <w:top w:val="nil"/>
              <w:left w:val="nil"/>
              <w:bottom w:val="single" w:color="auto" w:sz="8" w:space="0"/>
              <w:right w:val="single" w:color="auto" w:sz="8" w:space="0"/>
            </w:tcBorders>
            <w:shd w:val="clear" w:color="auto" w:fill="C0C0C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left"/>
        <w:rPr>
          <w:rFonts w:hint="eastAsia" w:ascii="仿宋" w:hAnsi="仿宋" w:eastAsia="仿宋" w:cs="仿宋"/>
          <w:i w:val="0"/>
          <w:iCs w:val="0"/>
          <w:caps w:val="0"/>
          <w:color w:val="1E1E1E"/>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（3）个人和家庭的补助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0"/>
        <w:jc w:val="left"/>
      </w:pPr>
      <w:r>
        <w:rPr>
          <w:rFonts w:hint="eastAsia" w:ascii="仿宋" w:hAnsi="仿宋" w:eastAsia="仿宋" w:cs="仿宋"/>
          <w:i w:val="0"/>
          <w:iCs w:val="0"/>
          <w:caps w:val="0"/>
          <w:color w:val="1E1E1E"/>
          <w:spacing w:val="0"/>
          <w:kern w:val="0"/>
          <w:sz w:val="32"/>
          <w:szCs w:val="32"/>
          <w:lang w:val="en-US" w:eastAsia="zh-CN" w:bidi="ar"/>
        </w:rPr>
        <w:t>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10"/>
        <w:gridCol w:w="1533"/>
        <w:gridCol w:w="1555"/>
        <w:gridCol w:w="1868"/>
        <w:gridCol w:w="1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4" w:hRule="atLeast"/>
        </w:trPr>
        <w:tc>
          <w:tcPr>
            <w:tcW w:w="1810"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支出项目</w:t>
            </w:r>
          </w:p>
        </w:tc>
        <w:tc>
          <w:tcPr>
            <w:tcW w:w="1533"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预算金额</w:t>
            </w:r>
          </w:p>
        </w:tc>
        <w:tc>
          <w:tcPr>
            <w:tcW w:w="1555"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决算金额</w:t>
            </w:r>
          </w:p>
        </w:tc>
        <w:tc>
          <w:tcPr>
            <w:tcW w:w="1868"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结余/超支金额</w:t>
            </w:r>
          </w:p>
        </w:tc>
        <w:tc>
          <w:tcPr>
            <w:tcW w:w="1570"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结余/超支率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1810"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退休费</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1.01</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1.01</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 0</w:t>
            </w:r>
          </w:p>
        </w:tc>
        <w:tc>
          <w:tcPr>
            <w:tcW w:w="157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1810"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生活补助</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2.9</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1.8</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 -1.1</w:t>
            </w:r>
          </w:p>
        </w:tc>
        <w:tc>
          <w:tcPr>
            <w:tcW w:w="157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3" w:hRule="atLeast"/>
        </w:trPr>
        <w:tc>
          <w:tcPr>
            <w:tcW w:w="1810"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奖励金</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5.84</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 5.84</w:t>
            </w:r>
          </w:p>
        </w:tc>
        <w:tc>
          <w:tcPr>
            <w:tcW w:w="157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1810"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合计</w:t>
            </w:r>
          </w:p>
        </w:tc>
        <w:tc>
          <w:tcPr>
            <w:tcW w:w="1533"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3.91</w:t>
            </w:r>
          </w:p>
        </w:tc>
        <w:tc>
          <w:tcPr>
            <w:tcW w:w="1555"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8.65</w:t>
            </w:r>
          </w:p>
        </w:tc>
        <w:tc>
          <w:tcPr>
            <w:tcW w:w="1868"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 4.74</w:t>
            </w:r>
          </w:p>
        </w:tc>
        <w:tc>
          <w:tcPr>
            <w:tcW w:w="1570"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bl>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hanging="160"/>
        <w:jc w:val="left"/>
        <w:rPr>
          <w:rFonts w:hint="eastAsia" w:ascii="仿宋" w:hAnsi="仿宋" w:eastAsia="仿宋" w:cs="仿宋"/>
          <w:i w:val="0"/>
          <w:iCs w:val="0"/>
          <w:caps w:val="0"/>
          <w:color w:val="1E1E1E"/>
          <w:spacing w:val="0"/>
          <w:kern w:val="0"/>
          <w:sz w:val="32"/>
          <w:szCs w:val="32"/>
          <w:lang w:val="en-US" w:eastAsia="zh-CN" w:bidi="ar"/>
        </w:rPr>
      </w:pPr>
      <w:r>
        <w:rPr>
          <w:rFonts w:hint="eastAsia" w:ascii="仿宋" w:hAnsi="仿宋" w:eastAsia="仿宋" w:cs="仿宋"/>
          <w:i w:val="0"/>
          <w:iCs w:val="0"/>
          <w:caps w:val="0"/>
          <w:color w:val="1E1E1E"/>
          <w:spacing w:val="0"/>
          <w:kern w:val="0"/>
          <w:sz w:val="32"/>
          <w:szCs w:val="32"/>
          <w:lang w:val="en-US" w:eastAsia="zh-CN" w:bidi="ar"/>
        </w:rPr>
        <w:t>资本性支出</w:t>
      </w:r>
    </w:p>
    <w:p>
      <w:pPr>
        <w:pStyle w:val="2"/>
        <w:keepNext w:val="0"/>
        <w:keepLines w:val="0"/>
        <w:pageBreakBefore w:val="0"/>
        <w:kinsoku/>
        <w:wordWrap/>
        <w:overflowPunct/>
        <w:topLinePunct w:val="0"/>
        <w:autoSpaceDE/>
        <w:autoSpaceDN/>
        <w:bidi w:val="0"/>
        <w:adjustRightInd/>
        <w:snapToGrid/>
        <w:spacing w:line="620" w:lineRule="exact"/>
        <w:rPr>
          <w:rFonts w:hint="eastAsia"/>
          <w:lang w:val="en-US" w:eastAsia="zh-CN"/>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810"/>
        <w:gridCol w:w="1533"/>
        <w:gridCol w:w="1555"/>
        <w:gridCol w:w="1868"/>
        <w:gridCol w:w="1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4" w:hRule="atLeast"/>
        </w:trPr>
        <w:tc>
          <w:tcPr>
            <w:tcW w:w="1810"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支出项目</w:t>
            </w:r>
          </w:p>
        </w:tc>
        <w:tc>
          <w:tcPr>
            <w:tcW w:w="1533"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预算金额</w:t>
            </w:r>
          </w:p>
        </w:tc>
        <w:tc>
          <w:tcPr>
            <w:tcW w:w="1555"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决算金额</w:t>
            </w:r>
          </w:p>
        </w:tc>
        <w:tc>
          <w:tcPr>
            <w:tcW w:w="1868"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结余/超支金额</w:t>
            </w:r>
          </w:p>
        </w:tc>
        <w:tc>
          <w:tcPr>
            <w:tcW w:w="1570"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结余/超支率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6" w:hRule="atLeast"/>
        </w:trPr>
        <w:tc>
          <w:tcPr>
            <w:tcW w:w="1810" w:type="dxa"/>
            <w:tcBorders>
              <w:top w:val="nil"/>
              <w:left w:val="single" w:color="auto" w:sz="8" w:space="0"/>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办公设备购置</w:t>
            </w:r>
          </w:p>
        </w:tc>
        <w:tc>
          <w:tcPr>
            <w:tcW w:w="1533"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2.58</w:t>
            </w:r>
          </w:p>
        </w:tc>
        <w:tc>
          <w:tcPr>
            <w:tcW w:w="1555"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2.02</w:t>
            </w:r>
          </w:p>
        </w:tc>
        <w:tc>
          <w:tcPr>
            <w:tcW w:w="1868"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-0.56 </w:t>
            </w:r>
          </w:p>
        </w:tc>
        <w:tc>
          <w:tcPr>
            <w:tcW w:w="1570" w:type="dxa"/>
            <w:tcBorders>
              <w:top w:val="nil"/>
              <w:left w:val="nil"/>
              <w:bottom w:val="single" w:color="auto" w:sz="8" w:space="0"/>
              <w:right w:val="single" w:color="auto" w:sz="8" w:space="0"/>
            </w:tcBorders>
            <w:shd w:val="clear" w:color="auto" w:fill="auto"/>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1" w:hRule="atLeast"/>
        </w:trPr>
        <w:tc>
          <w:tcPr>
            <w:tcW w:w="1810"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合计</w:t>
            </w:r>
          </w:p>
        </w:tc>
        <w:tc>
          <w:tcPr>
            <w:tcW w:w="1533"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pPr>
            <w:r>
              <w:rPr>
                <w:rFonts w:hint="eastAsia" w:ascii="仿宋" w:hAnsi="仿宋" w:eastAsia="仿宋" w:cs="仿宋"/>
                <w:color w:val="010101"/>
                <w:kern w:val="0"/>
                <w:sz w:val="21"/>
                <w:szCs w:val="21"/>
                <w:lang w:val="en-US" w:eastAsia="zh-CN" w:bidi="ar"/>
              </w:rPr>
              <w:t>2.58</w:t>
            </w:r>
          </w:p>
        </w:tc>
        <w:tc>
          <w:tcPr>
            <w:tcW w:w="1555"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pPr>
            <w:r>
              <w:rPr>
                <w:rFonts w:hint="eastAsia" w:ascii="仿宋" w:hAnsi="仿宋" w:eastAsia="仿宋" w:cs="仿宋"/>
                <w:color w:val="010101"/>
                <w:kern w:val="0"/>
                <w:sz w:val="21"/>
                <w:szCs w:val="21"/>
                <w:lang w:val="en-US" w:eastAsia="zh-CN" w:bidi="ar"/>
              </w:rPr>
              <w:t>2.02</w:t>
            </w:r>
          </w:p>
        </w:tc>
        <w:tc>
          <w:tcPr>
            <w:tcW w:w="1868"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pPr>
            <w:r>
              <w:rPr>
                <w:rFonts w:hint="eastAsia" w:ascii="仿宋" w:hAnsi="仿宋" w:eastAsia="仿宋" w:cs="仿宋"/>
                <w:color w:val="010101"/>
                <w:kern w:val="0"/>
                <w:sz w:val="21"/>
                <w:szCs w:val="21"/>
                <w:lang w:val="en-US" w:eastAsia="zh-CN" w:bidi="ar"/>
              </w:rPr>
              <w:t>-0.56 </w:t>
            </w:r>
          </w:p>
        </w:tc>
        <w:tc>
          <w:tcPr>
            <w:tcW w:w="1570"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bl>
    <w:p>
      <w:pPr>
        <w:pStyle w:val="2"/>
        <w:keepNext w:val="0"/>
        <w:keepLines w:val="0"/>
        <w:pageBreakBefore w:val="0"/>
        <w:numPr>
          <w:ilvl w:val="0"/>
          <w:numId w:val="0"/>
        </w:numPr>
        <w:kinsoku/>
        <w:wordWrap/>
        <w:overflowPunct/>
        <w:topLinePunct w:val="0"/>
        <w:autoSpaceDE/>
        <w:autoSpaceDN/>
        <w:bidi w:val="0"/>
        <w:adjustRightInd/>
        <w:snapToGrid/>
        <w:spacing w:line="620" w:lineRule="exact"/>
        <w:rPr>
          <w:rFonts w:hint="default"/>
          <w:lang w:val="en-US" w:eastAsia="zh-CN"/>
        </w:rPr>
      </w:pP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hanging="160"/>
        <w:jc w:val="left"/>
        <w:rPr>
          <w:rFonts w:hint="eastAsia" w:ascii="仿宋" w:hAnsi="仿宋" w:eastAsia="仿宋" w:cs="仿宋"/>
          <w:i w:val="0"/>
          <w:iCs w:val="0"/>
          <w:caps w:val="0"/>
          <w:color w:val="1E1E1E"/>
          <w:spacing w:val="0"/>
          <w:kern w:val="0"/>
          <w:sz w:val="32"/>
          <w:szCs w:val="32"/>
          <w:lang w:val="en-US" w:eastAsia="zh-CN" w:bidi="ar"/>
        </w:rPr>
      </w:pPr>
      <w:r>
        <w:rPr>
          <w:rFonts w:hint="eastAsia" w:ascii="仿宋" w:hAnsi="仿宋" w:eastAsia="仿宋" w:cs="仿宋"/>
          <w:i w:val="0"/>
          <w:iCs w:val="0"/>
          <w:caps w:val="0"/>
          <w:color w:val="1E1E1E"/>
          <w:spacing w:val="0"/>
          <w:kern w:val="0"/>
          <w:sz w:val="32"/>
          <w:szCs w:val="32"/>
          <w:lang w:val="en-US" w:eastAsia="zh-CN" w:bidi="ar"/>
        </w:rPr>
        <w:t>项目支出总额使用和管理</w:t>
      </w: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392"/>
        <w:gridCol w:w="1666"/>
        <w:gridCol w:w="1604"/>
        <w:gridCol w:w="2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1" w:hRule="atLeast"/>
          <w:jc w:val="center"/>
        </w:trPr>
        <w:tc>
          <w:tcPr>
            <w:tcW w:w="239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 预决算支出项目</w:t>
            </w:r>
          </w:p>
        </w:tc>
        <w:tc>
          <w:tcPr>
            <w:tcW w:w="166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预算金额</w:t>
            </w:r>
          </w:p>
        </w:tc>
        <w:tc>
          <w:tcPr>
            <w:tcW w:w="160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决算金额</w:t>
            </w:r>
          </w:p>
        </w:tc>
        <w:tc>
          <w:tcPr>
            <w:tcW w:w="243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节约/超支金额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工资福利支出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20" w:lineRule="exact"/>
              <w:jc w:val="center"/>
              <w:textAlignment w:val="center"/>
              <w:rPr>
                <w:rFonts w:hint="default" w:ascii="宋体" w:hAnsi="宋体" w:eastAsia="宋体" w:cs="宋体"/>
                <w:i w:val="0"/>
                <w:iCs w:val="0"/>
                <w:color w:val="000000"/>
                <w:kern w:val="2"/>
                <w:sz w:val="24"/>
                <w:szCs w:val="24"/>
                <w:u w:val="none"/>
                <w:lang w:val="en-US" w:eastAsia="zh-CN" w:bidi="ar-SA"/>
              </w:rPr>
            </w:pP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rPr>
                <w:rFonts w:hint="default" w:eastAsiaTheme="minorEastAsia"/>
                <w:lang w:val="en-US" w:eastAsia="zh-CN"/>
              </w:rPr>
            </w:pPr>
            <w:r>
              <w:rPr>
                <w:rFonts w:hint="eastAsia"/>
                <w:lang w:val="en-US" w:eastAsia="zh-CN"/>
              </w:rPr>
              <w:t>9.6</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eastAsiaTheme="minorEastAsia"/>
                <w:lang w:val="en-US" w:eastAsia="zh-CN"/>
              </w:rPr>
            </w:pPr>
            <w:r>
              <w:rPr>
                <w:rFonts w:hint="eastAsia"/>
                <w:lang w:val="en-US" w:eastAsia="zh-CN"/>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商品和服务支出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eastAsiaTheme="minorEastAsia"/>
                <w:lang w:val="en-US" w:eastAsia="zh-CN"/>
              </w:rPr>
            </w:pPr>
            <w:r>
              <w:rPr>
                <w:rFonts w:hint="eastAsia"/>
                <w:lang w:val="en-US" w:eastAsia="zh-CN"/>
              </w:rPr>
              <w:t>261.54</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rPr>
                <w:rFonts w:hint="default" w:eastAsiaTheme="minorEastAsia"/>
                <w:lang w:val="en-US" w:eastAsia="zh-CN"/>
              </w:rPr>
            </w:pPr>
            <w:r>
              <w:rPr>
                <w:rFonts w:hint="eastAsia"/>
                <w:lang w:val="en-US" w:eastAsia="zh-CN"/>
              </w:rPr>
              <w:t>533.99</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eastAsiaTheme="minorEastAsia"/>
                <w:lang w:val="en-US" w:eastAsia="zh-CN"/>
              </w:rPr>
            </w:pPr>
            <w:r>
              <w:rPr>
                <w:rFonts w:hint="eastAsia"/>
                <w:lang w:val="en-US" w:eastAsia="zh-CN"/>
              </w:rPr>
              <w:t>272.45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对个人和家庭的补助</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0.12</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rPr>
                <w:rFonts w:hint="default"/>
                <w:lang w:val="en-US"/>
              </w:rPr>
            </w:pPr>
            <w:r>
              <w:rPr>
                <w:rFonts w:hint="eastAsia" w:ascii="仿宋" w:hAnsi="仿宋" w:eastAsia="仿宋" w:cs="仿宋"/>
                <w:color w:val="000000"/>
                <w:kern w:val="0"/>
                <w:sz w:val="21"/>
                <w:szCs w:val="21"/>
                <w:lang w:val="en-US" w:eastAsia="zh-CN" w:bidi="ar"/>
              </w:rPr>
              <w:t>252.19</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252.07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资本性支出</w:t>
            </w:r>
          </w:p>
        </w:tc>
        <w:tc>
          <w:tcPr>
            <w:tcW w:w="166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17.6</w:t>
            </w:r>
          </w:p>
        </w:tc>
        <w:tc>
          <w:tcPr>
            <w:tcW w:w="1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textAlignment w:val="center"/>
              <w:rPr>
                <w:rFonts w:hint="default" w:eastAsiaTheme="minorEastAsia"/>
                <w:lang w:val="en-US" w:eastAsia="zh-CN"/>
              </w:rPr>
            </w:pPr>
            <w:r>
              <w:rPr>
                <w:rFonts w:hint="eastAsia"/>
                <w:lang w:val="en-US" w:eastAsia="zh-CN"/>
              </w:rPr>
              <w:t>73.11</w:t>
            </w:r>
          </w:p>
        </w:tc>
        <w:tc>
          <w:tcPr>
            <w:tcW w:w="243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55.51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239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pPr>
            <w:r>
              <w:rPr>
                <w:rFonts w:hint="eastAsia" w:ascii="仿宋" w:hAnsi="仿宋" w:eastAsia="仿宋" w:cs="仿宋"/>
                <w:color w:val="000000"/>
                <w:kern w:val="0"/>
                <w:sz w:val="21"/>
                <w:szCs w:val="21"/>
                <w:lang w:val="en-US" w:eastAsia="zh-CN" w:bidi="ar"/>
              </w:rPr>
              <w:t>合计</w:t>
            </w:r>
          </w:p>
        </w:tc>
        <w:tc>
          <w:tcPr>
            <w:tcW w:w="1666"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279.26</w:t>
            </w:r>
          </w:p>
        </w:tc>
        <w:tc>
          <w:tcPr>
            <w:tcW w:w="1604"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868.89</w:t>
            </w:r>
          </w:p>
        </w:tc>
        <w:tc>
          <w:tcPr>
            <w:tcW w:w="2438" w:type="dxa"/>
            <w:tcBorders>
              <w:top w:val="nil"/>
              <w:left w:val="nil"/>
              <w:bottom w:val="single" w:color="auto" w:sz="8" w:space="0"/>
              <w:right w:val="single" w:color="auto" w:sz="8" w:space="0"/>
            </w:tcBorders>
            <w:shd w:val="clear" w:color="auto" w:fill="D9D9D9"/>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textAlignment w:val="center"/>
              <w:rPr>
                <w:rFonts w:hint="default"/>
                <w:lang w:val="en-US"/>
              </w:rPr>
            </w:pPr>
            <w:r>
              <w:rPr>
                <w:rFonts w:hint="eastAsia" w:ascii="仿宋" w:hAnsi="仿宋" w:eastAsia="仿宋" w:cs="仿宋"/>
                <w:color w:val="000000"/>
                <w:kern w:val="0"/>
                <w:sz w:val="21"/>
                <w:szCs w:val="21"/>
                <w:lang w:val="en-US" w:eastAsia="zh-CN" w:bidi="ar"/>
              </w:rPr>
              <w:t>589.63</w:t>
            </w:r>
          </w:p>
        </w:tc>
      </w:tr>
    </w:tbl>
    <w:p>
      <w:pPr>
        <w:pStyle w:val="2"/>
        <w:keepNext w:val="0"/>
        <w:keepLines w:val="0"/>
        <w:pageBreakBefore w:val="0"/>
        <w:numPr>
          <w:ilvl w:val="0"/>
          <w:numId w:val="0"/>
        </w:numPr>
        <w:kinsoku/>
        <w:wordWrap/>
        <w:overflowPunct/>
        <w:topLinePunct w:val="0"/>
        <w:autoSpaceDE/>
        <w:autoSpaceDN/>
        <w:bidi w:val="0"/>
        <w:adjustRightInd/>
        <w:snapToGrid/>
        <w:spacing w:line="620" w:lineRule="exact"/>
        <w:rPr>
          <w:rFonts w:hint="default"/>
          <w:lang w:val="en-US" w:eastAsia="zh-CN"/>
        </w:rPr>
      </w:pPr>
    </w:p>
    <w:p>
      <w:pPr>
        <w:pStyle w:val="2"/>
        <w:keepNext w:val="0"/>
        <w:keepLines w:val="0"/>
        <w:pageBreakBefore w:val="0"/>
        <w:numPr>
          <w:ilvl w:val="0"/>
          <w:numId w:val="0"/>
        </w:numPr>
        <w:kinsoku/>
        <w:wordWrap/>
        <w:overflowPunct/>
        <w:topLinePunct w:val="0"/>
        <w:autoSpaceDE/>
        <w:autoSpaceDN/>
        <w:bidi w:val="0"/>
        <w:adjustRightInd/>
        <w:snapToGrid/>
        <w:spacing w:line="620" w:lineRule="exact"/>
        <w:ind w:firstLine="640" w:firstLineChars="200"/>
        <w:rPr>
          <w:rFonts w:hint="default" w:ascii="仿宋" w:hAnsi="仿宋" w:eastAsia="仿宋" w:cs="仿宋"/>
          <w:i w:val="0"/>
          <w:iCs w:val="0"/>
          <w:caps w:val="0"/>
          <w:color w:val="1E1E1E"/>
          <w:spacing w:val="0"/>
          <w:kern w:val="0"/>
          <w:sz w:val="32"/>
          <w:szCs w:val="32"/>
          <w:lang w:val="en-US" w:eastAsia="zh-CN" w:bidi="ar"/>
        </w:rPr>
      </w:pPr>
      <w:r>
        <w:rPr>
          <w:rFonts w:hint="default" w:ascii="仿宋" w:hAnsi="仿宋" w:eastAsia="仿宋" w:cs="仿宋"/>
          <w:i w:val="0"/>
          <w:iCs w:val="0"/>
          <w:caps w:val="0"/>
          <w:color w:val="1E1E1E"/>
          <w:spacing w:val="0"/>
          <w:kern w:val="0"/>
          <w:sz w:val="32"/>
          <w:szCs w:val="32"/>
          <w:lang w:val="en-US" w:eastAsia="zh-CN" w:bidi="ar"/>
        </w:rPr>
        <w:t>在项目支出方面，主要是村级转移支付</w:t>
      </w:r>
      <w:r>
        <w:rPr>
          <w:rFonts w:hint="eastAsia" w:ascii="仿宋" w:hAnsi="仿宋" w:eastAsia="仿宋" w:cs="仿宋"/>
          <w:i w:val="0"/>
          <w:iCs w:val="0"/>
          <w:caps w:val="0"/>
          <w:color w:val="1E1E1E"/>
          <w:spacing w:val="0"/>
          <w:kern w:val="0"/>
          <w:sz w:val="32"/>
          <w:szCs w:val="32"/>
          <w:lang w:val="en-US" w:eastAsia="zh-CN" w:bidi="ar"/>
        </w:rPr>
        <w:t>196.12</w:t>
      </w:r>
      <w:r>
        <w:rPr>
          <w:rFonts w:hint="default" w:ascii="仿宋" w:hAnsi="仿宋" w:eastAsia="仿宋" w:cs="仿宋"/>
          <w:i w:val="0"/>
          <w:iCs w:val="0"/>
          <w:caps w:val="0"/>
          <w:color w:val="1E1E1E"/>
          <w:spacing w:val="0"/>
          <w:kern w:val="0"/>
          <w:sz w:val="32"/>
          <w:szCs w:val="32"/>
          <w:lang w:val="en-US" w:eastAsia="zh-CN" w:bidi="ar"/>
        </w:rPr>
        <w:t>万元，该项目主要用于村级工作运转，包含村干部工资、村级办公运转经费、离任村干生活补助、会议误工以及其他支出，其他支出包含农村清洁工程资金等。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hanging="160"/>
        <w:jc w:val="left"/>
      </w:pPr>
      <w:r>
        <w:rPr>
          <w:rFonts w:hint="eastAsia" w:ascii="仿宋" w:hAnsi="仿宋" w:eastAsia="仿宋" w:cs="仿宋"/>
          <w:i w:val="0"/>
          <w:iCs w:val="0"/>
          <w:caps w:val="0"/>
          <w:color w:val="1E1E1E"/>
          <w:spacing w:val="0"/>
          <w:kern w:val="0"/>
          <w:sz w:val="32"/>
          <w:szCs w:val="32"/>
          <w:lang w:val="en-US" w:eastAsia="zh-CN" w:bidi="ar"/>
        </w:rPr>
        <w:t>（三）“三公经费”支出使用和管理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0"/>
        <w:jc w:val="left"/>
      </w:pPr>
      <w:r>
        <w:rPr>
          <w:rFonts w:hint="eastAsia" w:ascii="仿宋" w:hAnsi="仿宋" w:eastAsia="仿宋" w:cs="仿宋"/>
          <w:i w:val="0"/>
          <w:iCs w:val="0"/>
          <w:caps w:val="0"/>
          <w:color w:val="1E1E1E"/>
          <w:spacing w:val="0"/>
          <w:kern w:val="0"/>
          <w:sz w:val="32"/>
          <w:szCs w:val="32"/>
          <w:lang w:val="en-US" w:eastAsia="zh-CN" w:bidi="ar"/>
        </w:rPr>
        <w:t>1、“三公经费”预算执行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0"/>
        <w:jc w:val="left"/>
      </w:pPr>
      <w:r>
        <w:rPr>
          <w:rFonts w:hint="eastAsia" w:ascii="仿宋" w:hAnsi="仿宋" w:eastAsia="仿宋" w:cs="仿宋"/>
          <w:i w:val="0"/>
          <w:iCs w:val="0"/>
          <w:caps w:val="0"/>
          <w:color w:val="1E1E1E"/>
          <w:spacing w:val="0"/>
          <w:kern w:val="0"/>
          <w:sz w:val="32"/>
          <w:szCs w:val="32"/>
          <w:lang w:val="en-US" w:eastAsia="zh-CN" w:bidi="ar"/>
        </w:rPr>
        <w:t> </w:t>
      </w: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608"/>
        <w:gridCol w:w="1054"/>
        <w:gridCol w:w="1112"/>
        <w:gridCol w:w="995"/>
        <w:gridCol w:w="1156"/>
        <w:gridCol w:w="1136"/>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4" w:hRule="atLeast"/>
          <w:jc w:val="center"/>
        </w:trPr>
        <w:tc>
          <w:tcPr>
            <w:tcW w:w="1632" w:type="dxa"/>
            <w:vMerge w:val="restart"/>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费用项目</w:t>
            </w:r>
          </w:p>
        </w:tc>
        <w:tc>
          <w:tcPr>
            <w:tcW w:w="2190"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本年预算</w:t>
            </w:r>
          </w:p>
        </w:tc>
        <w:tc>
          <w:tcPr>
            <w:tcW w:w="2175"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本年决算</w:t>
            </w:r>
          </w:p>
        </w:tc>
        <w:tc>
          <w:tcPr>
            <w:tcW w:w="2439"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结余/超支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jc w:val="center"/>
        </w:trPr>
        <w:tc>
          <w:tcPr>
            <w:tcW w:w="1632" w:type="dxa"/>
            <w:vMerge w:val="continue"/>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keepNext w:val="0"/>
              <w:keepLines w:val="0"/>
              <w:pageBreakBefore w:val="0"/>
              <w:kinsoku/>
              <w:wordWrap/>
              <w:overflowPunct/>
              <w:topLinePunct w:val="0"/>
              <w:autoSpaceDE/>
              <w:autoSpaceDN/>
              <w:bidi w:val="0"/>
              <w:adjustRightInd/>
              <w:snapToGrid/>
              <w:spacing w:line="620" w:lineRule="exact"/>
              <w:rPr>
                <w:rFonts w:hint="eastAsia" w:ascii="宋体"/>
                <w:sz w:val="24"/>
                <w:szCs w:val="24"/>
              </w:rPr>
            </w:pPr>
          </w:p>
        </w:tc>
        <w:tc>
          <w:tcPr>
            <w:tcW w:w="1065"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基本支出</w:t>
            </w:r>
          </w:p>
        </w:tc>
        <w:tc>
          <w:tcPr>
            <w:tcW w:w="1125"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项目支出</w:t>
            </w:r>
          </w:p>
        </w:tc>
        <w:tc>
          <w:tcPr>
            <w:tcW w:w="1005"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基本支出</w:t>
            </w:r>
          </w:p>
        </w:tc>
        <w:tc>
          <w:tcPr>
            <w:tcW w:w="1170"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项目支出</w:t>
            </w:r>
          </w:p>
        </w:tc>
        <w:tc>
          <w:tcPr>
            <w:tcW w:w="1149"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基本支出</w:t>
            </w:r>
          </w:p>
        </w:tc>
        <w:tc>
          <w:tcPr>
            <w:tcW w:w="1290"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4" w:hRule="atLeast"/>
          <w:jc w:val="center"/>
        </w:trPr>
        <w:tc>
          <w:tcPr>
            <w:tcW w:w="1632"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公务接待费</w:t>
            </w:r>
          </w:p>
        </w:tc>
        <w:tc>
          <w:tcPr>
            <w:tcW w:w="106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w:t>
            </w:r>
          </w:p>
        </w:tc>
        <w:tc>
          <w:tcPr>
            <w:tcW w:w="112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00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w:t>
            </w:r>
          </w:p>
        </w:tc>
        <w:tc>
          <w:tcPr>
            <w:tcW w:w="1170"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149"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290"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jc w:val="center"/>
        </w:trPr>
        <w:tc>
          <w:tcPr>
            <w:tcW w:w="1632"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公车运行维护费</w:t>
            </w:r>
          </w:p>
        </w:tc>
        <w:tc>
          <w:tcPr>
            <w:tcW w:w="106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 8</w:t>
            </w:r>
          </w:p>
        </w:tc>
        <w:tc>
          <w:tcPr>
            <w:tcW w:w="112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00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4.67</w:t>
            </w:r>
          </w:p>
        </w:tc>
        <w:tc>
          <w:tcPr>
            <w:tcW w:w="1170"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149"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290"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0" w:hRule="atLeast"/>
          <w:jc w:val="center"/>
        </w:trPr>
        <w:tc>
          <w:tcPr>
            <w:tcW w:w="1632"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公务车购置费</w:t>
            </w:r>
          </w:p>
        </w:tc>
        <w:tc>
          <w:tcPr>
            <w:tcW w:w="106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 0</w:t>
            </w:r>
          </w:p>
        </w:tc>
        <w:tc>
          <w:tcPr>
            <w:tcW w:w="112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00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w:t>
            </w:r>
          </w:p>
        </w:tc>
        <w:tc>
          <w:tcPr>
            <w:tcW w:w="1170"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149"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290"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4" w:hRule="atLeast"/>
          <w:jc w:val="center"/>
        </w:trPr>
        <w:tc>
          <w:tcPr>
            <w:tcW w:w="1632"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因公出国费用</w:t>
            </w:r>
          </w:p>
        </w:tc>
        <w:tc>
          <w:tcPr>
            <w:tcW w:w="106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0 </w:t>
            </w:r>
          </w:p>
        </w:tc>
        <w:tc>
          <w:tcPr>
            <w:tcW w:w="112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005"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w:t>
            </w:r>
          </w:p>
        </w:tc>
        <w:tc>
          <w:tcPr>
            <w:tcW w:w="1170"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149"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290" w:type="dxa"/>
            <w:tcBorders>
              <w:top w:val="nil"/>
              <w:left w:val="nil"/>
              <w:bottom w:val="single" w:color="auto" w:sz="8" w:space="0"/>
              <w:right w:val="single" w:color="auto" w:sz="8" w:space="0"/>
            </w:tcBorders>
            <w:shd w:val="clear" w:color="auto" w:fill="auto"/>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9" w:hRule="atLeast"/>
          <w:jc w:val="center"/>
        </w:trPr>
        <w:tc>
          <w:tcPr>
            <w:tcW w:w="1632" w:type="dxa"/>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合计</w:t>
            </w:r>
          </w:p>
        </w:tc>
        <w:tc>
          <w:tcPr>
            <w:tcW w:w="1065"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8</w:t>
            </w:r>
          </w:p>
        </w:tc>
        <w:tc>
          <w:tcPr>
            <w:tcW w:w="1125"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005"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rPr>
                <w:rFonts w:hint="default"/>
                <w:lang w:val="en-US"/>
              </w:rPr>
            </w:pPr>
            <w:r>
              <w:rPr>
                <w:rFonts w:hint="eastAsia" w:ascii="仿宋" w:hAnsi="仿宋" w:eastAsia="仿宋" w:cs="仿宋"/>
                <w:color w:val="010101"/>
                <w:kern w:val="0"/>
                <w:sz w:val="21"/>
                <w:szCs w:val="21"/>
                <w:lang w:val="en-US" w:eastAsia="zh-CN" w:bidi="ar"/>
              </w:rPr>
              <w:t>4.67</w:t>
            </w:r>
          </w:p>
        </w:tc>
        <w:tc>
          <w:tcPr>
            <w:tcW w:w="1170"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149"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1290" w:type="dxa"/>
            <w:tcBorders>
              <w:top w:val="nil"/>
              <w:left w:val="nil"/>
              <w:bottom w:val="single" w:color="auto" w:sz="8" w:space="0"/>
              <w:right w:val="single" w:color="auto" w:sz="8" w:space="0"/>
            </w:tcBorders>
            <w:shd w:val="clear" w:color="auto" w:fill="D9D9D9"/>
            <w:tcMar>
              <w:left w:w="15" w:type="dxa"/>
              <w:right w:w="1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0"/>
        <w:jc w:val="left"/>
      </w:pPr>
      <w:r>
        <w:rPr>
          <w:rFonts w:hint="eastAsia" w:ascii="仿宋" w:hAnsi="仿宋" w:eastAsia="仿宋" w:cs="仿宋"/>
          <w:i w:val="0"/>
          <w:iCs w:val="0"/>
          <w:caps w:val="0"/>
          <w:color w:val="1E1E1E"/>
          <w:spacing w:val="0"/>
          <w:kern w:val="0"/>
          <w:sz w:val="32"/>
          <w:szCs w:val="32"/>
          <w:lang w:val="en-US" w:eastAsia="zh-CN" w:bidi="ar"/>
        </w:rPr>
        <w:t>2、“三公经费”与上年度比较</w:t>
      </w: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95"/>
        <w:gridCol w:w="1179"/>
        <w:gridCol w:w="1255"/>
        <w:gridCol w:w="1249"/>
        <w:gridCol w:w="24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1" w:hRule="atLeast"/>
          <w:jc w:val="center"/>
        </w:trPr>
        <w:tc>
          <w:tcPr>
            <w:tcW w:w="1795" w:type="dxa"/>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费用项目</w:t>
            </w:r>
          </w:p>
        </w:tc>
        <w:tc>
          <w:tcPr>
            <w:tcW w:w="1179"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本年金额</w:t>
            </w:r>
          </w:p>
        </w:tc>
        <w:tc>
          <w:tcPr>
            <w:tcW w:w="1255"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上年金额</w:t>
            </w:r>
          </w:p>
        </w:tc>
        <w:tc>
          <w:tcPr>
            <w:tcW w:w="1249"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增减额</w:t>
            </w:r>
          </w:p>
        </w:tc>
        <w:tc>
          <w:tcPr>
            <w:tcW w:w="2477"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增减率%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公务接待费</w:t>
            </w:r>
          </w:p>
        </w:tc>
        <w:tc>
          <w:tcPr>
            <w:tcW w:w="1179"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p>
        </w:tc>
        <w:tc>
          <w:tcPr>
            <w:tcW w:w="1255"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p>
        </w:tc>
        <w:tc>
          <w:tcPr>
            <w:tcW w:w="1249"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p>
        </w:tc>
        <w:tc>
          <w:tcPr>
            <w:tcW w:w="2477"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公车运行维护费</w:t>
            </w:r>
          </w:p>
        </w:tc>
        <w:tc>
          <w:tcPr>
            <w:tcW w:w="1179"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pPr>
            <w:r>
              <w:rPr>
                <w:rFonts w:hint="eastAsia" w:ascii="仿宋" w:hAnsi="仿宋" w:eastAsia="仿宋" w:cs="仿宋"/>
                <w:color w:val="010101"/>
                <w:kern w:val="0"/>
                <w:sz w:val="21"/>
                <w:szCs w:val="21"/>
                <w:lang w:val="en-US" w:eastAsia="zh-CN" w:bidi="ar"/>
              </w:rPr>
              <w:t>4.67</w:t>
            </w:r>
          </w:p>
        </w:tc>
        <w:tc>
          <w:tcPr>
            <w:tcW w:w="1255"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pPr>
            <w:r>
              <w:rPr>
                <w:rFonts w:hint="eastAsia" w:ascii="仿宋" w:hAnsi="仿宋" w:eastAsia="仿宋" w:cs="仿宋"/>
                <w:color w:val="010101"/>
                <w:kern w:val="0"/>
                <w:sz w:val="21"/>
                <w:szCs w:val="21"/>
                <w:lang w:val="en-US" w:eastAsia="zh-CN" w:bidi="ar"/>
              </w:rPr>
              <w:t>4.17</w:t>
            </w:r>
          </w:p>
        </w:tc>
        <w:tc>
          <w:tcPr>
            <w:tcW w:w="1249"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0.5 </w:t>
            </w:r>
          </w:p>
        </w:tc>
        <w:tc>
          <w:tcPr>
            <w:tcW w:w="2477"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公务车辆购置费</w:t>
            </w:r>
          </w:p>
        </w:tc>
        <w:tc>
          <w:tcPr>
            <w:tcW w:w="1179"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w:t>
            </w:r>
          </w:p>
        </w:tc>
        <w:tc>
          <w:tcPr>
            <w:tcW w:w="1255"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w:t>
            </w:r>
          </w:p>
        </w:tc>
        <w:tc>
          <w:tcPr>
            <w:tcW w:w="1249"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2477"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因公出国(境)费用</w:t>
            </w:r>
          </w:p>
        </w:tc>
        <w:tc>
          <w:tcPr>
            <w:tcW w:w="1179"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w:t>
            </w:r>
          </w:p>
        </w:tc>
        <w:tc>
          <w:tcPr>
            <w:tcW w:w="1255"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0</w:t>
            </w:r>
          </w:p>
        </w:tc>
        <w:tc>
          <w:tcPr>
            <w:tcW w:w="1249"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c>
          <w:tcPr>
            <w:tcW w:w="2477" w:type="dxa"/>
            <w:tcBorders>
              <w:top w:val="nil"/>
              <w:left w:val="nil"/>
              <w:bottom w:val="single" w:color="auto" w:sz="8" w:space="0"/>
              <w:right w:val="single" w:color="auto" w:sz="8" w:space="0"/>
            </w:tcBorders>
            <w:shd w:val="clear" w:color="auto" w:fill="auto"/>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1795" w:type="dxa"/>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right="0" w:hanging="315"/>
              <w:jc w:val="center"/>
            </w:pPr>
            <w:r>
              <w:rPr>
                <w:rFonts w:hint="eastAsia" w:ascii="仿宋" w:hAnsi="仿宋" w:eastAsia="仿宋" w:cs="仿宋"/>
                <w:color w:val="010101"/>
                <w:kern w:val="0"/>
                <w:sz w:val="21"/>
                <w:szCs w:val="21"/>
                <w:lang w:val="en-US" w:eastAsia="zh-CN" w:bidi="ar"/>
              </w:rPr>
              <w:t>合计</w:t>
            </w:r>
          </w:p>
        </w:tc>
        <w:tc>
          <w:tcPr>
            <w:tcW w:w="1179"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pPr>
            <w:r>
              <w:rPr>
                <w:rFonts w:hint="eastAsia" w:ascii="仿宋" w:hAnsi="仿宋" w:eastAsia="仿宋" w:cs="仿宋"/>
                <w:color w:val="010101"/>
                <w:kern w:val="0"/>
                <w:sz w:val="21"/>
                <w:szCs w:val="21"/>
                <w:lang w:val="en-US" w:eastAsia="zh-CN" w:bidi="ar"/>
              </w:rPr>
              <w:t>4.67</w:t>
            </w:r>
          </w:p>
        </w:tc>
        <w:tc>
          <w:tcPr>
            <w:tcW w:w="1255"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pPr>
            <w:r>
              <w:rPr>
                <w:rFonts w:hint="eastAsia" w:ascii="仿宋" w:hAnsi="仿宋" w:eastAsia="仿宋" w:cs="仿宋"/>
                <w:color w:val="010101"/>
                <w:kern w:val="0"/>
                <w:sz w:val="21"/>
                <w:szCs w:val="21"/>
                <w:lang w:val="en-US" w:eastAsia="zh-CN" w:bidi="ar"/>
              </w:rPr>
              <w:t>4.17</w:t>
            </w:r>
          </w:p>
        </w:tc>
        <w:tc>
          <w:tcPr>
            <w:tcW w:w="1249"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pPr>
            <w:r>
              <w:rPr>
                <w:rFonts w:hint="eastAsia" w:ascii="仿宋" w:hAnsi="仿宋" w:eastAsia="仿宋" w:cs="仿宋"/>
                <w:color w:val="010101"/>
                <w:kern w:val="0"/>
                <w:sz w:val="21"/>
                <w:szCs w:val="21"/>
                <w:lang w:val="en-US" w:eastAsia="zh-CN" w:bidi="ar"/>
              </w:rPr>
              <w:t>0.5 </w:t>
            </w:r>
          </w:p>
        </w:tc>
        <w:tc>
          <w:tcPr>
            <w:tcW w:w="2477" w:type="dxa"/>
            <w:tcBorders>
              <w:top w:val="nil"/>
              <w:left w:val="nil"/>
              <w:bottom w:val="single" w:color="auto" w:sz="8" w:space="0"/>
              <w:right w:val="single" w:color="auto" w:sz="8" w:space="0"/>
            </w:tcBorders>
            <w:shd w:val="clear" w:color="auto" w:fill="D9D9D9"/>
            <w:tcMar>
              <w:left w:w="15" w:type="dxa"/>
              <w:right w:w="1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5" w:leftChars="0" w:right="0" w:rightChars="0" w:hanging="315" w:firstLineChars="0"/>
              <w:jc w:val="center"/>
            </w:pPr>
            <w:r>
              <w:rPr>
                <w:rFonts w:hint="eastAsia" w:ascii="仿宋" w:hAnsi="仿宋" w:eastAsia="仿宋" w:cs="仿宋"/>
                <w:color w:val="010101"/>
                <w:kern w:val="0"/>
                <w:sz w:val="21"/>
                <w:szCs w:val="21"/>
                <w:lang w:val="en-US" w:eastAsia="zh-CN" w:bidi="ar"/>
              </w:rPr>
              <w:t>12% 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因工作量的增加，全年三公经费总额同比增加0.5万，同比增加12%。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160"/>
        <w:jc w:val="left"/>
        <w:rPr>
          <w:rFonts w:hint="eastAsia" w:ascii="仿宋" w:hAnsi="仿宋" w:eastAsia="仿宋" w:cs="仿宋"/>
          <w:b/>
          <w:bCs/>
          <w:i w:val="0"/>
          <w:iCs w:val="0"/>
          <w:caps w:val="0"/>
          <w:color w:val="1E1E1E"/>
          <w:spacing w:val="0"/>
          <w:kern w:val="0"/>
          <w:sz w:val="32"/>
          <w:szCs w:val="32"/>
          <w:lang w:val="en-US" w:eastAsia="zh-CN" w:bidi="ar"/>
        </w:rPr>
      </w:pPr>
      <w:r>
        <w:rPr>
          <w:rFonts w:hint="eastAsia" w:ascii="仿宋" w:hAnsi="仿宋" w:eastAsia="仿宋" w:cs="仿宋"/>
          <w:b/>
          <w:bCs/>
          <w:i w:val="0"/>
          <w:iCs w:val="0"/>
          <w:caps w:val="0"/>
          <w:color w:val="1E1E1E"/>
          <w:spacing w:val="0"/>
          <w:kern w:val="0"/>
          <w:sz w:val="32"/>
          <w:szCs w:val="32"/>
          <w:lang w:val="en-US" w:eastAsia="zh-CN" w:bidi="ar"/>
        </w:rPr>
        <w:t>四、部门整体支出绩效评价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2021年，我镇根据年初工作规划及财政预算计划，积极履职、强化管理，较好的完成了年度工作目标。通过加强预算收支管理、不断建立健全内部管理制度、梳理内部管理流程，部门整体支出管理情况得到提升，部门整体支出绩效情况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2" w:right="0" w:firstLine="0"/>
        <w:jc w:val="left"/>
      </w:pPr>
      <w:r>
        <w:rPr>
          <w:rFonts w:hint="eastAsia" w:ascii="仿宋" w:hAnsi="仿宋" w:eastAsia="仿宋" w:cs="仿宋"/>
          <w:b/>
          <w:bCs/>
          <w:i w:val="0"/>
          <w:iCs w:val="0"/>
          <w:caps w:val="0"/>
          <w:color w:val="1E1E1E"/>
          <w:spacing w:val="0"/>
          <w:kern w:val="0"/>
          <w:sz w:val="32"/>
          <w:szCs w:val="32"/>
          <w:lang w:val="en-US" w:eastAsia="zh-CN" w:bidi="ar"/>
        </w:rPr>
        <w:t>（一）经济性评价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1.本年预算配置控制较好。财政供养人员控制在预算编制以内；“三公”经费支出总额控制在预算。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left"/>
      </w:pPr>
      <w:r>
        <w:rPr>
          <w:rFonts w:hint="eastAsia" w:ascii="仿宋" w:hAnsi="仿宋" w:eastAsia="仿宋" w:cs="仿宋"/>
          <w:i w:val="0"/>
          <w:iCs w:val="0"/>
          <w:caps w:val="0"/>
          <w:color w:val="1E1E1E"/>
          <w:spacing w:val="0"/>
          <w:kern w:val="0"/>
          <w:sz w:val="32"/>
          <w:szCs w:val="32"/>
          <w:lang w:val="en-US" w:eastAsia="zh-CN" w:bidi="ar"/>
        </w:rPr>
        <w:t>2.预算执行方面。支出总额控制在预算总额以内；三公经费总体控制较好。预算管理方面，制度执行总体较为有效，仍需进一步强化。资金使用管理需进一步加强。资产管理方面，建立了资产管理制度，定期进行了盘点和资产清理，总体执行较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74" w:right="0" w:firstLine="472"/>
        <w:jc w:val="left"/>
      </w:pPr>
      <w:r>
        <w:rPr>
          <w:rFonts w:hint="eastAsia" w:ascii="仿宋" w:hAnsi="仿宋" w:eastAsia="仿宋" w:cs="仿宋"/>
          <w:b/>
          <w:bCs/>
          <w:i w:val="0"/>
          <w:iCs w:val="0"/>
          <w:caps w:val="0"/>
          <w:color w:val="1E1E1E"/>
          <w:spacing w:val="0"/>
          <w:kern w:val="0"/>
          <w:sz w:val="32"/>
          <w:szCs w:val="32"/>
          <w:lang w:val="en-US" w:eastAsia="zh-CN" w:bidi="ar"/>
        </w:rPr>
        <w:t>（二）行政效能评价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74" w:right="0" w:firstLine="470"/>
        <w:jc w:val="left"/>
      </w:pPr>
      <w:r>
        <w:rPr>
          <w:rFonts w:hint="eastAsia" w:ascii="仿宋" w:hAnsi="仿宋" w:eastAsia="仿宋" w:cs="仿宋"/>
          <w:i w:val="0"/>
          <w:iCs w:val="0"/>
          <w:caps w:val="0"/>
          <w:color w:val="1E1E1E"/>
          <w:spacing w:val="0"/>
          <w:kern w:val="0"/>
          <w:sz w:val="32"/>
          <w:szCs w:val="32"/>
          <w:lang w:val="en-US" w:eastAsia="zh-CN" w:bidi="ar"/>
        </w:rPr>
        <w:t>预算安排的所有支出项目保障了我镇的正常的工作运转，在资金的管理和使用上，严守法律底线、纪律底线、道德底线。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1.高度重视预算绩效工作。成立了以镇长为组长，其他班子成员为副组长，办公室及财务室人员为成员的预算绩效工作领导小组，进一步强化财政预算支出绩效管理。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2.加强对财政预算资金管理方面制度的培训，不断提高业务工作能力。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3.建立了机关整体支出管理方面的内控制度，并不断进行完善和修订。财务管理制度、票据管理办法 、财务会审制度、固定资产管理制度等办法，对招待费支出进行了有效管控。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4.严格控制执行，特别是三公经费的预算控制。严格招待费用审核审批程度，“三公”经费较好地控制在预算范围之内。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（三）社会公众满意度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 2021年，全镇干部职工在镇党委、政府的正确领导下，认真贯彻落实党的十九大精神和县委县政府决策部署，勤奋工作，创先争优，圆满完成各项工作任务。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（四）部门整体绩效得分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jc w:val="left"/>
      </w:pPr>
      <w:r>
        <w:rPr>
          <w:rFonts w:hint="eastAsia" w:ascii="仿宋" w:hAnsi="仿宋" w:eastAsia="仿宋" w:cs="仿宋"/>
          <w:i w:val="0"/>
          <w:iCs w:val="0"/>
          <w:caps w:val="0"/>
          <w:color w:val="1E1E1E"/>
          <w:spacing w:val="0"/>
          <w:kern w:val="0"/>
          <w:sz w:val="32"/>
          <w:szCs w:val="32"/>
          <w:lang w:val="en-US" w:eastAsia="zh-CN" w:bidi="ar"/>
        </w:rPr>
        <w:t> 根据部门整体支出绩效评价指标体系，2021年度评价得分为</w:t>
      </w:r>
      <w:r>
        <w:rPr>
          <w:rFonts w:hint="eastAsia" w:ascii="仿宋" w:hAnsi="仿宋" w:eastAsia="仿宋" w:cs="仿宋"/>
          <w:i w:val="0"/>
          <w:iCs w:val="0"/>
          <w:caps w:val="0"/>
          <w:color w:val="auto"/>
          <w:spacing w:val="0"/>
          <w:kern w:val="0"/>
          <w:sz w:val="32"/>
          <w:szCs w:val="32"/>
          <w:lang w:val="en-US" w:eastAsia="zh-CN" w:bidi="ar"/>
        </w:rPr>
        <w:t>95</w:t>
      </w:r>
      <w:bookmarkStart w:id="0" w:name="_GoBack"/>
      <w:bookmarkEnd w:id="0"/>
      <w:r>
        <w:rPr>
          <w:rFonts w:hint="eastAsia" w:ascii="仿宋" w:hAnsi="仿宋" w:eastAsia="仿宋" w:cs="仿宋"/>
          <w:i w:val="0"/>
          <w:iCs w:val="0"/>
          <w:caps w:val="0"/>
          <w:color w:val="1E1E1E"/>
          <w:spacing w:val="0"/>
          <w:kern w:val="0"/>
          <w:sz w:val="32"/>
          <w:szCs w:val="32"/>
          <w:lang w:val="en-US" w:eastAsia="zh-CN" w:bidi="ar"/>
        </w:rPr>
        <w:t>分（见附件）。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1360" w:right="0" w:hanging="720"/>
        <w:jc w:val="left"/>
      </w:pPr>
      <w:r>
        <w:rPr>
          <w:rFonts w:hint="eastAsia" w:ascii="仿宋" w:hAnsi="仿宋" w:eastAsia="仿宋" w:cs="仿宋"/>
          <w:i w:val="0"/>
          <w:iCs w:val="0"/>
          <w:caps w:val="0"/>
          <w:color w:val="1E1E1E"/>
          <w:spacing w:val="0"/>
          <w:kern w:val="0"/>
          <w:sz w:val="32"/>
          <w:szCs w:val="32"/>
          <w:lang w:val="en-US" w:eastAsia="zh-CN" w:bidi="ar"/>
        </w:rPr>
        <w:t>五、 存在的主要问题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316" w:right="0" w:firstLine="0"/>
        <w:jc w:val="left"/>
        <w:rPr>
          <w:rFonts w:hint="default"/>
          <w:lang w:val="en-US"/>
        </w:rPr>
      </w:pPr>
      <w:r>
        <w:rPr>
          <w:rFonts w:hint="eastAsia" w:ascii="仿宋" w:hAnsi="仿宋" w:eastAsia="仿宋" w:cs="仿宋"/>
          <w:i w:val="0"/>
          <w:iCs w:val="0"/>
          <w:caps w:val="0"/>
          <w:color w:val="1E1E1E"/>
          <w:spacing w:val="0"/>
          <w:kern w:val="0"/>
          <w:sz w:val="32"/>
          <w:szCs w:val="32"/>
          <w:lang w:val="en-US" w:eastAsia="zh-CN" w:bidi="ar"/>
        </w:rPr>
        <w:t>      预算管理方面，制度执行总体较为有效，仍需进一步强化.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480" w:right="0" w:firstLine="160"/>
        <w:jc w:val="left"/>
      </w:pPr>
      <w:r>
        <w:rPr>
          <w:rFonts w:hint="eastAsia" w:ascii="仿宋" w:hAnsi="仿宋" w:eastAsia="仿宋" w:cs="仿宋"/>
          <w:i w:val="0"/>
          <w:iCs w:val="0"/>
          <w:caps w:val="0"/>
          <w:color w:val="1E1E1E"/>
          <w:spacing w:val="0"/>
          <w:kern w:val="0"/>
          <w:sz w:val="32"/>
          <w:szCs w:val="32"/>
          <w:lang w:val="en-US" w:eastAsia="zh-CN" w:bidi="ar"/>
        </w:rPr>
        <w:t>六、改进意见及建议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right="0" w:firstLine="640" w:firstLineChars="200"/>
        <w:jc w:val="left"/>
        <w:rPr>
          <w:rFonts w:hint="eastAsia"/>
          <w:lang w:val="en-US" w:eastAsia="zh-CN"/>
        </w:rPr>
      </w:pPr>
      <w:r>
        <w:rPr>
          <w:rFonts w:hint="eastAsia" w:ascii="仿宋" w:hAnsi="仿宋" w:eastAsia="仿宋" w:cs="仿宋"/>
          <w:i w:val="0"/>
          <w:iCs w:val="0"/>
          <w:caps w:val="0"/>
          <w:color w:val="1E1E1E"/>
          <w:spacing w:val="0"/>
          <w:kern w:val="0"/>
          <w:sz w:val="32"/>
          <w:szCs w:val="32"/>
          <w:lang w:val="en-US" w:eastAsia="zh-CN" w:bidi="ar"/>
        </w:rPr>
        <w:t>进一步加强财政预算绩效管理。严格按照部门预算要求，牢固树立“成本效益”观念，进一步加强预算管理，规范预算执行，不断优化预算支出结构，实行资金跟踪问效制度。</w:t>
      </w:r>
    </w:p>
    <w:p>
      <w:pPr>
        <w:pStyle w:val="2"/>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 w:hAnsi="仿宋" w:eastAsia="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 w:hAnsi="仿宋" w:eastAsia="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62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附件：部门整体支出绩效评价表</w:t>
      </w:r>
    </w:p>
    <w:p>
      <w:pPr>
        <w:pStyle w:val="2"/>
        <w:keepNext w:val="0"/>
        <w:keepLines w:val="0"/>
        <w:pageBreakBefore w:val="0"/>
        <w:kinsoku/>
        <w:wordWrap/>
        <w:overflowPunct/>
        <w:topLinePunct w:val="0"/>
        <w:autoSpaceDE/>
        <w:autoSpaceDN/>
        <w:bidi w:val="0"/>
        <w:adjustRightInd/>
        <w:snapToGrid/>
        <w:spacing w:line="620" w:lineRule="exact"/>
        <w:rPr>
          <w:rFonts w:hint="eastAsia" w:ascii="仿宋" w:hAnsi="仿宋" w:eastAsia="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620" w:lineRule="exact"/>
        <w:rPr>
          <w:rFonts w:hint="eastAsia" w:ascii="仿宋" w:hAnsi="仿宋" w:eastAsia="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620" w:lineRule="exact"/>
        <w:rPr>
          <w:rFonts w:hint="eastAsia" w:ascii="仿宋" w:hAnsi="仿宋" w:eastAsia="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620" w:lineRule="exact"/>
        <w:rPr>
          <w:rFonts w:hint="eastAsia" w:ascii="仿宋" w:hAnsi="仿宋" w:eastAsia="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620" w:lineRule="exact"/>
        <w:rPr>
          <w:rFonts w:hint="eastAsia" w:ascii="仿宋" w:hAnsi="仿宋" w:eastAsia="仿宋"/>
          <w:sz w:val="32"/>
          <w:szCs w:val="32"/>
          <w:lang w:val="en-US" w:eastAsia="zh-CN"/>
        </w:rPr>
      </w:pPr>
    </w:p>
    <w:p>
      <w:pPr>
        <w:pStyle w:val="2"/>
        <w:keepNext w:val="0"/>
        <w:keepLines w:val="0"/>
        <w:pageBreakBefore w:val="0"/>
        <w:kinsoku/>
        <w:wordWrap/>
        <w:overflowPunct/>
        <w:topLinePunct w:val="0"/>
        <w:autoSpaceDE/>
        <w:autoSpaceDN/>
        <w:bidi w:val="0"/>
        <w:adjustRightInd/>
        <w:snapToGrid/>
        <w:spacing w:line="620" w:lineRule="exact"/>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曲沃县里村镇人民政府</w:t>
      </w:r>
    </w:p>
    <w:p>
      <w:pPr>
        <w:pStyle w:val="2"/>
        <w:keepNext w:val="0"/>
        <w:keepLines w:val="0"/>
        <w:pageBreakBefore w:val="0"/>
        <w:kinsoku/>
        <w:wordWrap/>
        <w:overflowPunct/>
        <w:topLinePunct w:val="0"/>
        <w:autoSpaceDE/>
        <w:autoSpaceDN/>
        <w:bidi w:val="0"/>
        <w:adjustRightInd/>
        <w:snapToGrid/>
        <w:spacing w:line="62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2022年3月15日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0D2F09"/>
    <w:multiLevelType w:val="singleLevel"/>
    <w:tmpl w:val="2E0D2F09"/>
    <w:lvl w:ilvl="0" w:tentative="0">
      <w:start w:val="4"/>
      <w:numFmt w:val="decimal"/>
      <w:suff w:val="nothing"/>
      <w:lvlText w:val="（%1）"/>
      <w:lvlJc w:val="left"/>
    </w:lvl>
  </w:abstractNum>
  <w:abstractNum w:abstractNumId="1">
    <w:nsid w:val="6A4326CA"/>
    <w:multiLevelType w:val="singleLevel"/>
    <w:tmpl w:val="6A4326C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B2935"/>
    <w:rsid w:val="02720DCD"/>
    <w:rsid w:val="055C6BEF"/>
    <w:rsid w:val="07BA35F9"/>
    <w:rsid w:val="07BC5210"/>
    <w:rsid w:val="082D4132"/>
    <w:rsid w:val="0A366938"/>
    <w:rsid w:val="0C3F2C85"/>
    <w:rsid w:val="0C493D03"/>
    <w:rsid w:val="0D3B13B4"/>
    <w:rsid w:val="0E3A41C0"/>
    <w:rsid w:val="1279351E"/>
    <w:rsid w:val="14B264A0"/>
    <w:rsid w:val="14D7277E"/>
    <w:rsid w:val="1904043D"/>
    <w:rsid w:val="19703403"/>
    <w:rsid w:val="1CB82E85"/>
    <w:rsid w:val="1FA41362"/>
    <w:rsid w:val="1FAE1958"/>
    <w:rsid w:val="255011E3"/>
    <w:rsid w:val="259D4A70"/>
    <w:rsid w:val="297C2FA8"/>
    <w:rsid w:val="2A65607B"/>
    <w:rsid w:val="2B563D23"/>
    <w:rsid w:val="2C85189B"/>
    <w:rsid w:val="2CD25D14"/>
    <w:rsid w:val="2D934B8A"/>
    <w:rsid w:val="2F401B4A"/>
    <w:rsid w:val="301013FC"/>
    <w:rsid w:val="311E2BFD"/>
    <w:rsid w:val="31B87EF8"/>
    <w:rsid w:val="37F53A00"/>
    <w:rsid w:val="38A50B16"/>
    <w:rsid w:val="3A68470D"/>
    <w:rsid w:val="3A8665FE"/>
    <w:rsid w:val="3AC74114"/>
    <w:rsid w:val="3EC820E8"/>
    <w:rsid w:val="3F9D0A4A"/>
    <w:rsid w:val="41AA38C9"/>
    <w:rsid w:val="42026F16"/>
    <w:rsid w:val="42E179C9"/>
    <w:rsid w:val="42F96948"/>
    <w:rsid w:val="43611602"/>
    <w:rsid w:val="46FB7956"/>
    <w:rsid w:val="47884E75"/>
    <w:rsid w:val="478F6F16"/>
    <w:rsid w:val="49530E14"/>
    <w:rsid w:val="50287535"/>
    <w:rsid w:val="50DB2935"/>
    <w:rsid w:val="511E6E05"/>
    <w:rsid w:val="52A005C6"/>
    <w:rsid w:val="533846CA"/>
    <w:rsid w:val="533E3ECB"/>
    <w:rsid w:val="562B61F8"/>
    <w:rsid w:val="56496DFB"/>
    <w:rsid w:val="56F51D08"/>
    <w:rsid w:val="572F0AFC"/>
    <w:rsid w:val="58EE349E"/>
    <w:rsid w:val="5A4E2167"/>
    <w:rsid w:val="5A8A41C4"/>
    <w:rsid w:val="5BE00342"/>
    <w:rsid w:val="5CDC3E02"/>
    <w:rsid w:val="5F0D632B"/>
    <w:rsid w:val="60675F52"/>
    <w:rsid w:val="60E01A4F"/>
    <w:rsid w:val="623B574A"/>
    <w:rsid w:val="62915774"/>
    <w:rsid w:val="6D5E00F8"/>
    <w:rsid w:val="6D747D72"/>
    <w:rsid w:val="6FF375E1"/>
    <w:rsid w:val="71973933"/>
    <w:rsid w:val="72254CAC"/>
    <w:rsid w:val="72977D38"/>
    <w:rsid w:val="76B01ECF"/>
    <w:rsid w:val="77290D8B"/>
    <w:rsid w:val="7B7343D6"/>
    <w:rsid w:val="7E421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6">
    <w:name w:val="Body Text Indent 2"/>
    <w:basedOn w:val="1"/>
    <w:qFormat/>
    <w:uiPriority w:val="99"/>
    <w:pPr>
      <w:spacing w:after="120" w:line="480" w:lineRule="auto"/>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customStyle="1" w:styleId="13">
    <w:name w:val="wx-space"/>
    <w:basedOn w:val="11"/>
    <w:qFormat/>
    <w:uiPriority w:val="0"/>
  </w:style>
  <w:style w:type="character" w:customStyle="1" w:styleId="14">
    <w:name w:val="hover1"/>
    <w:basedOn w:val="11"/>
    <w:qFormat/>
    <w:uiPriority w:val="0"/>
    <w:rPr>
      <w:color w:val="00000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6470</Words>
  <Characters>7118</Characters>
  <Lines>0</Lines>
  <Paragraphs>0</Paragraphs>
  <TotalTime>5</TotalTime>
  <ScaleCrop>false</ScaleCrop>
  <LinksUpToDate>false</LinksUpToDate>
  <CharactersWithSpaces>7222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2020-03-26T09:14:00Z</dcterms:created>
  <dc:creator>监察室1</dc:creator>
  <cp:lastModifiedBy>柴文博姑姑</cp:lastModifiedBy>
  <cp:lastPrinted>2021-11-01T03:55:00Z</cp:lastPrinted>
  <dcterms:modified xsi:type="dcterms:W3CDTF">2022-03-19T05:21:40Z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074BBA57D8A04DE8B982B6D704570AE3</vt:lpwstr>
  </property>
</Properties>
</file>