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宋体" w:hAnsi="宋体" w:eastAsia="宋体" w:cs="宋体"/>
          <w:b/>
          <w:color w:val="000000"/>
          <w:kern w:val="0"/>
          <w:sz w:val="44"/>
          <w:szCs w:val="44"/>
          <w:lang w:eastAsia="zh-CN"/>
        </w:rPr>
      </w:pPr>
      <w:r>
        <w:rPr>
          <w:rFonts w:hint="eastAsia" w:ascii="宋体" w:hAnsi="宋体" w:cs="宋体"/>
          <w:b/>
          <w:color w:val="000000"/>
          <w:kern w:val="0"/>
          <w:sz w:val="44"/>
          <w:szCs w:val="44"/>
        </w:rPr>
        <w:t>曲沃县</w:t>
      </w:r>
      <w:r>
        <w:rPr>
          <w:rFonts w:hint="eastAsia" w:ascii="宋体" w:hAnsi="宋体" w:cs="宋体"/>
          <w:b/>
          <w:color w:val="000000"/>
          <w:kern w:val="0"/>
          <w:sz w:val="44"/>
          <w:szCs w:val="44"/>
          <w:lang w:val="en-US" w:eastAsia="zh-CN"/>
        </w:rPr>
        <w:t>能源局</w:t>
      </w:r>
    </w:p>
    <w:p>
      <w:pPr>
        <w:widowControl/>
        <w:jc w:val="center"/>
        <w:rPr>
          <w:rFonts w:hint="eastAsia" w:ascii="宋体" w:hAnsi="宋体" w:cs="宋体"/>
          <w:b/>
          <w:color w:val="000000"/>
          <w:kern w:val="0"/>
          <w:sz w:val="44"/>
          <w:szCs w:val="44"/>
        </w:rPr>
      </w:pPr>
      <w:r>
        <w:rPr>
          <w:rFonts w:hint="eastAsia" w:ascii="宋体" w:hAnsi="宋体" w:cs="宋体"/>
          <w:b/>
          <w:color w:val="000000"/>
          <w:kern w:val="0"/>
          <w:sz w:val="44"/>
          <w:szCs w:val="44"/>
        </w:rPr>
        <w:t>20</w:t>
      </w:r>
      <w:r>
        <w:rPr>
          <w:rFonts w:hint="default" w:ascii="宋体" w:hAnsi="宋体" w:cs="宋体"/>
          <w:b/>
          <w:color w:val="000000"/>
          <w:kern w:val="0"/>
          <w:sz w:val="44"/>
          <w:szCs w:val="44"/>
          <w:lang w:val="en-US"/>
        </w:rPr>
        <w:t>2</w:t>
      </w:r>
      <w:r>
        <w:rPr>
          <w:rFonts w:hint="eastAsia" w:ascii="宋体" w:hAnsi="宋体" w:cs="宋体"/>
          <w:b/>
          <w:color w:val="000000"/>
          <w:kern w:val="0"/>
          <w:sz w:val="44"/>
          <w:szCs w:val="44"/>
          <w:lang w:val="en-US" w:eastAsia="zh-CN"/>
        </w:rPr>
        <w:t>2</w:t>
      </w:r>
      <w:r>
        <w:rPr>
          <w:rFonts w:hint="eastAsia" w:ascii="宋体" w:hAnsi="宋体" w:cs="宋体"/>
          <w:b/>
          <w:color w:val="000000"/>
          <w:kern w:val="0"/>
          <w:sz w:val="44"/>
          <w:szCs w:val="44"/>
        </w:rPr>
        <w:t>年度部门预算信息公开</w:t>
      </w:r>
    </w:p>
    <w:p>
      <w:pPr>
        <w:widowControl/>
        <w:jc w:val="center"/>
        <w:rPr>
          <w:rFonts w:hint="eastAsia" w:ascii="仿宋_GB2312" w:hAnsi="ˎ̥,Verdana,Arial" w:eastAsia="仿宋_GB2312" w:cs="宋体"/>
          <w:color w:val="000000"/>
          <w:kern w:val="0"/>
          <w:sz w:val="32"/>
          <w:szCs w:val="32"/>
        </w:rPr>
      </w:pPr>
    </w:p>
    <w:p>
      <w:pPr>
        <w:jc w:val="center"/>
        <w:rPr>
          <w:rFonts w:hint="eastAsia" w:ascii="黑体" w:hAnsi="仿宋" w:eastAsia="黑体"/>
          <w:sz w:val="32"/>
          <w:szCs w:val="32"/>
        </w:rPr>
      </w:pPr>
      <w:r>
        <w:rPr>
          <w:rFonts w:hint="eastAsia" w:ascii="黑体" w:hAnsi="仿宋" w:eastAsia="黑体"/>
          <w:sz w:val="32"/>
          <w:szCs w:val="32"/>
        </w:rPr>
        <w:t>第一部分</w:t>
      </w:r>
      <w:r>
        <w:rPr>
          <w:rFonts w:hint="eastAsia" w:ascii="黑体" w:hAnsi="仿宋" w:eastAsia="黑体"/>
          <w:sz w:val="32"/>
          <w:szCs w:val="32"/>
          <w:lang w:val="en-US" w:eastAsia="zh-CN"/>
        </w:rPr>
        <w:t>部门</w:t>
      </w:r>
      <w:r>
        <w:rPr>
          <w:rFonts w:hint="eastAsia" w:ascii="黑体" w:hAnsi="仿宋" w:eastAsia="黑体"/>
          <w:sz w:val="32"/>
          <w:szCs w:val="32"/>
        </w:rPr>
        <w:t>概况</w:t>
      </w:r>
    </w:p>
    <w:p>
      <w:pPr>
        <w:widowControl/>
        <w:ind w:firstLine="643" w:firstLineChars="200"/>
        <w:jc w:val="left"/>
        <w:rPr>
          <w:rFonts w:hint="eastAsia" w:ascii="仿宋_GB2312" w:hAnsi="仿宋" w:eastAsia="仿宋_GB2312" w:cs="宋体"/>
          <w:b/>
          <w:color w:val="000000"/>
          <w:kern w:val="0"/>
          <w:sz w:val="32"/>
          <w:szCs w:val="32"/>
        </w:rPr>
      </w:pPr>
      <w:r>
        <w:rPr>
          <w:rFonts w:hint="eastAsia" w:ascii="仿宋_GB2312" w:hAnsi="仿宋" w:eastAsia="仿宋_GB2312" w:cs="宋体"/>
          <w:b/>
          <w:color w:val="000000"/>
          <w:kern w:val="0"/>
          <w:sz w:val="32"/>
          <w:szCs w:val="32"/>
        </w:rPr>
        <w:t>一、</w:t>
      </w:r>
      <w:r>
        <w:rPr>
          <w:rFonts w:hint="eastAsia" w:ascii="仿宋_GB2312" w:hAnsi="仿宋" w:eastAsia="仿宋_GB2312" w:cs="宋体"/>
          <w:b/>
          <w:color w:val="000000"/>
          <w:kern w:val="0"/>
          <w:sz w:val="32"/>
          <w:szCs w:val="32"/>
          <w:lang w:val="en-US" w:eastAsia="zh-CN"/>
        </w:rPr>
        <w:t>主要</w:t>
      </w:r>
      <w:r>
        <w:rPr>
          <w:rFonts w:hint="eastAsia" w:ascii="仿宋_GB2312" w:hAnsi="仿宋" w:eastAsia="仿宋_GB2312" w:cs="宋体"/>
          <w:b/>
          <w:color w:val="000000"/>
          <w:kern w:val="0"/>
          <w:sz w:val="32"/>
          <w:szCs w:val="32"/>
        </w:rPr>
        <w:t>职能</w:t>
      </w:r>
      <w:r>
        <w:rPr>
          <w:rFonts w:hint="eastAsia" w:ascii="仿宋_GB2312" w:hAnsi="ˎ̥,Verdana,Arial" w:eastAsia="仿宋_GB2312" w:cs="宋体"/>
          <w:b/>
          <w:color w:val="000000"/>
          <w:kern w:val="0"/>
          <w:sz w:val="32"/>
          <w:szCs w:val="32"/>
        </w:rPr>
        <w:t>  </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贯彻落实国家、省、市有关能源工作的法律、法规和政策，研究拟订全县能源发展战略和发展规划，起草有关能源实施办法，推进能源体制改革。</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负责全县能源行业管理。</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按县人民政府规定权限，负责审批、核准、审核能源固定资产投资项目，并负责组织项目竣工验收。</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负责能源预测预警，监测全县能源发展状况，发布能源信息，参与能源运行调节和应急保障。</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牵头组织全县节能降耗工作，拟订年度工作计划并推动实施。</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协调电力发展和改革中的重大问题。负责电力运行管理。</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负责石油、天然气等管道建设和保护。</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指导协调新能源、可再生能源、农村电网和农村能源发展工作。</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组织推进能源重大设备研发及其相关重大科研项目。</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组织推进能源国际、省际、市际、县际合作，协调对外能源开发利用工作。</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参与制定与能源相关的资源、环保及应对气候变化等实施办法，提出能源价格调整和进出口总量建议。</w:t>
      </w:r>
    </w:p>
    <w:p>
      <w:pPr>
        <w:spacing w:line="220" w:lineRule="atLeas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承办县委、县人民政府交办的其他任务。</w:t>
      </w:r>
    </w:p>
    <w:p>
      <w:pPr>
        <w:widowControl/>
        <w:spacing w:line="620" w:lineRule="exact"/>
        <w:ind w:firstLine="640" w:firstLineChars="200"/>
        <w:jc w:val="left"/>
        <w:rPr>
          <w:rFonts w:hint="eastAsia" w:ascii="仿宋_GB2312" w:hAnsi="仿宋" w:eastAsia="仿宋_GB2312" w:cs="宋体"/>
          <w:color w:val="000000"/>
          <w:kern w:val="0"/>
          <w:sz w:val="32"/>
          <w:szCs w:val="32"/>
          <w:highlight w:val="none"/>
          <w:lang w:eastAsia="zh-CN"/>
        </w:rPr>
      </w:pP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职能转变。围绕临汾建设全省资源型经济转型发展示范区和打造全省能源革命排头兵战略，研究提出全县能源发展战略、规划，提出能源体制改革建议，转变能源管理和服务职能，减少微观管理和具体审批事项。</w:t>
      </w:r>
    </w:p>
    <w:p>
      <w:pPr>
        <w:widowControl/>
        <w:spacing w:line="620" w:lineRule="exact"/>
        <w:ind w:firstLine="640" w:firstLineChars="200"/>
        <w:jc w:val="left"/>
        <w:rPr>
          <w:rFonts w:hint="eastAsia" w:ascii="仿宋_GB2312" w:hAnsi="仿宋" w:eastAsia="仿宋_GB2312" w:cs="宋体"/>
          <w:color w:val="000000"/>
          <w:kern w:val="0"/>
          <w:sz w:val="32"/>
          <w:szCs w:val="32"/>
          <w:highlight w:val="none"/>
          <w:lang w:eastAsia="zh-CN"/>
        </w:rPr>
      </w:pPr>
      <w:r>
        <w:rPr>
          <w:rFonts w:hint="eastAsia" w:ascii="仿宋_GB2312" w:hAnsi="仿宋" w:eastAsia="仿宋_GB2312" w:cs="宋体"/>
          <w:color w:val="000000"/>
          <w:kern w:val="0"/>
          <w:sz w:val="32"/>
          <w:szCs w:val="32"/>
          <w:highlight w:val="none"/>
          <w:lang w:val="en-US" w:eastAsia="zh-CN"/>
        </w:rPr>
        <w:t>14、</w:t>
      </w:r>
      <w:r>
        <w:rPr>
          <w:rFonts w:hint="eastAsia" w:ascii="仿宋_GB2312" w:hAnsi="仿宋" w:eastAsia="仿宋_GB2312" w:cs="宋体"/>
          <w:color w:val="000000"/>
          <w:kern w:val="0"/>
          <w:sz w:val="32"/>
          <w:szCs w:val="32"/>
          <w:highlight w:val="none"/>
          <w:lang w:eastAsia="zh-CN"/>
        </w:rPr>
        <w:t>完成县委、县人民政府交办的其他任务。</w:t>
      </w:r>
    </w:p>
    <w:p>
      <w:pPr>
        <w:widowControl/>
        <w:numPr>
          <w:ilvl w:val="0"/>
          <w:numId w:val="0"/>
        </w:numPr>
        <w:spacing w:line="620" w:lineRule="exact"/>
        <w:jc w:val="left"/>
        <w:rPr>
          <w:rFonts w:hint="eastAsia" w:ascii="仿宋_GB2312" w:hAnsi="ˎ̥,Verdana,Arial" w:eastAsia="仿宋_GB2312" w:cs="宋体"/>
          <w:color w:val="000000"/>
          <w:kern w:val="0"/>
          <w:sz w:val="32"/>
          <w:szCs w:val="32"/>
        </w:rPr>
      </w:pPr>
    </w:p>
    <w:p>
      <w:pPr>
        <w:ind w:firstLine="643" w:firstLineChars="200"/>
        <w:rPr>
          <w:rFonts w:hint="default" w:ascii="仿宋_GB2312" w:hAnsi="仿宋" w:eastAsia="仿宋_GB2312"/>
          <w:b/>
          <w:sz w:val="32"/>
          <w:szCs w:val="32"/>
          <w:lang w:val="en-US" w:eastAsia="zh-CN"/>
        </w:rPr>
      </w:pPr>
      <w:r>
        <w:rPr>
          <w:rFonts w:hint="eastAsia" w:ascii="仿宋_GB2312" w:hAnsi="仿宋" w:eastAsia="仿宋_GB2312"/>
          <w:b/>
          <w:sz w:val="32"/>
          <w:szCs w:val="32"/>
        </w:rPr>
        <w:t>二、</w:t>
      </w:r>
      <w:r>
        <w:rPr>
          <w:rFonts w:hint="eastAsia" w:ascii="仿宋_GB2312" w:hAnsi="仿宋" w:eastAsia="仿宋_GB2312"/>
          <w:b/>
          <w:sz w:val="32"/>
          <w:szCs w:val="32"/>
          <w:lang w:val="en-US" w:eastAsia="zh-CN"/>
        </w:rPr>
        <w:t>部门</w:t>
      </w:r>
      <w:r>
        <w:rPr>
          <w:rFonts w:hint="eastAsia" w:ascii="仿宋_GB2312" w:hAnsi="仿宋" w:eastAsia="仿宋_GB2312"/>
          <w:b/>
          <w:sz w:val="32"/>
          <w:szCs w:val="32"/>
        </w:rPr>
        <w:t>机构设置</w:t>
      </w:r>
      <w:r>
        <w:rPr>
          <w:rFonts w:hint="eastAsia" w:ascii="仿宋_GB2312" w:hAnsi="仿宋" w:eastAsia="仿宋_GB2312"/>
          <w:b/>
          <w:sz w:val="32"/>
          <w:szCs w:val="32"/>
          <w:lang w:val="en-US" w:eastAsia="zh-CN"/>
        </w:rPr>
        <w:t>及预算单位构成情况</w:t>
      </w:r>
    </w:p>
    <w:p>
      <w:pPr>
        <w:ind w:firstLine="640" w:firstLineChars="200"/>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val="en-US" w:eastAsia="zh-CN"/>
        </w:rPr>
        <w:t>1、根据部门职责分工，</w:t>
      </w:r>
      <w:r>
        <w:rPr>
          <w:rFonts w:hint="eastAsia" w:ascii="仿宋_GB2312" w:hAnsi="仿宋" w:eastAsia="仿宋_GB2312"/>
          <w:sz w:val="32"/>
          <w:szCs w:val="32"/>
          <w:highlight w:val="none"/>
        </w:rPr>
        <w:t>目前</w:t>
      </w:r>
      <w:r>
        <w:rPr>
          <w:rFonts w:hint="eastAsia" w:ascii="仿宋_GB2312" w:hAnsi="仿宋" w:eastAsia="仿宋_GB2312"/>
          <w:sz w:val="32"/>
          <w:szCs w:val="32"/>
          <w:highlight w:val="none"/>
          <w:lang w:val="en-US" w:eastAsia="zh-CN"/>
        </w:rPr>
        <w:t>本</w:t>
      </w:r>
      <w:r>
        <w:rPr>
          <w:rFonts w:hint="eastAsia" w:ascii="仿宋_GB2312" w:hAnsi="仿宋" w:eastAsia="仿宋_GB2312"/>
          <w:sz w:val="32"/>
          <w:szCs w:val="32"/>
          <w:highlight w:val="none"/>
        </w:rPr>
        <w:t>局下设办公室、</w:t>
      </w:r>
      <w:r>
        <w:rPr>
          <w:rFonts w:hint="eastAsia" w:ascii="仿宋_GB2312" w:hAnsi="仿宋_GB2312" w:eastAsia="仿宋_GB2312" w:cs="仿宋_GB2312"/>
          <w:color w:val="auto"/>
          <w:sz w:val="32"/>
          <w:szCs w:val="32"/>
          <w:highlight w:val="none"/>
          <w:lang w:val="en-US" w:eastAsia="zh-CN"/>
        </w:rPr>
        <w:t>发展规划股（行政审批股）、电力和新能源股</w:t>
      </w:r>
      <w:r>
        <w:rPr>
          <w:rFonts w:hint="eastAsia" w:ascii="仿宋_GB2312" w:hAnsi="仿宋" w:eastAsia="仿宋_GB2312"/>
          <w:sz w:val="32"/>
          <w:szCs w:val="32"/>
          <w:highlight w:val="none"/>
          <w:lang w:eastAsia="zh-CN"/>
        </w:rPr>
        <w:t>。</w:t>
      </w:r>
    </w:p>
    <w:p>
      <w:pPr>
        <w:ind w:firstLine="640" w:firstLineChars="200"/>
        <w:rPr>
          <w:rFonts w:hint="eastAsia"/>
          <w:lang w:eastAsia="zh-CN"/>
        </w:rPr>
      </w:pPr>
      <w:r>
        <w:rPr>
          <w:rFonts w:hint="eastAsia" w:ascii="仿宋_GB2312" w:hAnsi="仿宋" w:eastAsia="仿宋_GB2312"/>
          <w:sz w:val="32"/>
          <w:szCs w:val="32"/>
          <w:highlight w:val="none"/>
        </w:rPr>
        <w:t>目前我局共有财政供养人员</w:t>
      </w:r>
      <w:r>
        <w:rPr>
          <w:rFonts w:hint="eastAsia" w:ascii="仿宋_GB2312" w:hAnsi="仿宋" w:eastAsia="仿宋_GB2312"/>
          <w:sz w:val="32"/>
          <w:szCs w:val="32"/>
          <w:highlight w:val="none"/>
          <w:lang w:val="en-US" w:eastAsia="zh-CN"/>
        </w:rPr>
        <w:t>14</w:t>
      </w:r>
      <w:r>
        <w:rPr>
          <w:rFonts w:hint="eastAsia" w:ascii="仿宋_GB2312" w:hAnsi="仿宋" w:eastAsia="仿宋_GB2312"/>
          <w:sz w:val="32"/>
          <w:szCs w:val="32"/>
          <w:highlight w:val="none"/>
        </w:rPr>
        <w:t>人，其中：行政人员</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rPr>
        <w:t>人，事业人员</w:t>
      </w:r>
      <w:r>
        <w:rPr>
          <w:rFonts w:hint="eastAsia" w:ascii="仿宋_GB2312" w:hAnsi="仿宋" w:eastAsia="仿宋_GB2312"/>
          <w:sz w:val="32"/>
          <w:szCs w:val="32"/>
          <w:highlight w:val="none"/>
          <w:lang w:val="en-US" w:eastAsia="zh-CN"/>
        </w:rPr>
        <w:t>10</w:t>
      </w:r>
      <w:r>
        <w:rPr>
          <w:rFonts w:hint="eastAsia" w:ascii="仿宋_GB2312" w:hAnsi="仿宋" w:eastAsia="仿宋_GB2312"/>
          <w:sz w:val="32"/>
          <w:szCs w:val="32"/>
          <w:highlight w:val="none"/>
        </w:rPr>
        <w:t>人。</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hAnsi="仿宋" w:eastAsia="仿宋_GB2312"/>
          <w:sz w:val="32"/>
          <w:szCs w:val="32"/>
          <w:highlight w:val="none"/>
          <w:lang w:val="en-US" w:eastAsia="zh-CN"/>
        </w:rPr>
        <w:t>2、从预算单位构成看，纳入本部门2021年部门汇总预算编制范围的预算单位共计1个，为</w:t>
      </w:r>
      <w:r>
        <w:rPr>
          <w:rFonts w:hint="eastAsia" w:ascii="仿宋_GB2312" w:hAnsi="仿宋_GB2312" w:eastAsia="仿宋_GB2312" w:cs="仿宋_GB2312"/>
          <w:color w:val="auto"/>
          <w:sz w:val="32"/>
          <w:szCs w:val="32"/>
          <w:highlight w:val="none"/>
          <w:lang w:val="en-US" w:eastAsia="zh-CN"/>
        </w:rPr>
        <w:t>曲沃县能源局。</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三、2022年部门主要工作任务及目标</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（一）全力抓好节能降耗工作</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进一步推进重点用能单位能耗在线监测系统建设，指导企业规范数据报送。科学预测，严格把控重点用能单位合理用能，做到能耗“双控”工作心中有数，把控有方。根据市节能办预警信息及我县统计实时数据，及时发布能源消费和煤炭消费预警信息。推动重点行业节煤提效，优化能源消费结构。狠抓节能监察工作，推动节能法律法规贯彻落实。抓好节能政策宣传，组织开展好2022年节能宣传周活动。完成2022年度市定节能“双控”目标任务。</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（二）进一步推动洗煤企业标准化建设</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鼓励社会独立洗选煤企业采用新工艺、新技术进行改扩建或技术改造、提高洗选煤企业产能占比。在2021年工作基础上，进一步推动洗选煤企业标准化建设。</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（三）推动新能源项目落地实施</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围绕碳达峰碳中和重要战略目标，加快构建现代产业体系，做好新能源项目谋划工作，及时更新新能源三年滚动项目储备库；发挥牵头作用，协调各部门、各乡镇，积极对接晋南公司，做好相关手续办理和服务工作，推动晋南瑞能曲沃县300MW光伏“新能源+储能”项目早日落地建成；在保证现有项目及时完成建设的基础上，2022年再组织申报一个100MW光伏项目。</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（四）巩固清洁取暖成果</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继续贯彻落实上级安排部署，做好清洁取暖后续工作。督促各部门建立长效机制，遵循“用户可承受、政府可支撑、运行可持续”的原则，进一步查缺补漏，巩固改造成果。进一步做好宣传工作，通过电视、广播、自媒体、宣传册、标语等形式，大力倡导能源消费新理念，提升群众生活质量。做好设备维护的协调工作，保障改造居民户温暖过冬。</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（五）狠抓队伍作风能力提升</w:t>
      </w:r>
    </w:p>
    <w:p>
      <w:pPr>
        <w:ind w:firstLine="640" w:firstLineChars="200"/>
        <w:jc w:val="left"/>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以党的建设为统领，深入学习贯彻习近平新时代中国特色社会主义思想，树立“四个意识”、坚定“四个自信”、做到“两个维护”，贯彻习近平总书记关于提升干部能力的要求，全面提升全体人员的专业水平、实践经验、应急处置能力，加强与兄弟县市的学习交流，打造“信念坚定、创新担当、规范卓越、风清和谐”的曲沃能源队伍。</w:t>
      </w:r>
    </w:p>
    <w:p>
      <w:pPr>
        <w:ind w:firstLine="640" w:firstLineChars="200"/>
        <w:jc w:val="center"/>
        <w:rPr>
          <w:rFonts w:hint="eastAsia" w:ascii="黑体" w:hAnsi="仿宋" w:eastAsia="黑体"/>
          <w:sz w:val="32"/>
          <w:szCs w:val="32"/>
        </w:rPr>
      </w:pPr>
      <w:r>
        <w:rPr>
          <w:rFonts w:hint="eastAsia" w:ascii="黑体" w:hAnsi="仿宋" w:eastAsia="黑体"/>
          <w:sz w:val="32"/>
          <w:szCs w:val="32"/>
        </w:rPr>
        <w:t>第二部分20</w:t>
      </w:r>
      <w:r>
        <w:rPr>
          <w:rFonts w:hint="default" w:ascii="黑体" w:hAnsi="仿宋" w:eastAsia="黑体"/>
          <w:sz w:val="32"/>
          <w:szCs w:val="32"/>
          <w:lang w:val="en-US"/>
        </w:rPr>
        <w:t>2</w:t>
      </w:r>
      <w:r>
        <w:rPr>
          <w:rFonts w:hint="eastAsia" w:ascii="黑体" w:hAnsi="仿宋" w:eastAsia="黑体"/>
          <w:sz w:val="32"/>
          <w:szCs w:val="32"/>
          <w:lang w:val="en-US" w:eastAsia="zh-CN"/>
        </w:rPr>
        <w:t>2</w:t>
      </w:r>
      <w:r>
        <w:rPr>
          <w:rFonts w:hint="eastAsia" w:ascii="黑体" w:hAnsi="仿宋" w:eastAsia="黑体"/>
          <w:sz w:val="32"/>
          <w:szCs w:val="32"/>
        </w:rPr>
        <w:t>年部门预算报表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部门2022年预算收支总表</w:t>
      </w:r>
      <w:r>
        <w:rPr>
          <w:rFonts w:hint="eastAsia" w:ascii="仿宋_GB2312" w:hAnsi="仿宋" w:eastAsia="仿宋_GB2312"/>
          <w:sz w:val="32"/>
          <w:szCs w:val="32"/>
        </w:rPr>
        <w:t>（见附表）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二、</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部门2022年预算</w:t>
      </w:r>
      <w:r>
        <w:rPr>
          <w:rFonts w:hint="eastAsia" w:ascii="仿宋_GB2312" w:hAnsi="仿宋" w:eastAsia="仿宋_GB2312"/>
          <w:sz w:val="32"/>
          <w:szCs w:val="32"/>
        </w:rPr>
        <w:t>收入总表（见附表）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三、</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部门2022年预算</w:t>
      </w:r>
      <w:r>
        <w:rPr>
          <w:rFonts w:hint="eastAsia" w:ascii="仿宋_GB2312" w:hAnsi="仿宋" w:eastAsia="仿宋_GB2312"/>
          <w:sz w:val="32"/>
          <w:szCs w:val="32"/>
        </w:rPr>
        <w:t>支出总表（见附表）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四、</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财政拨款收支总表（见附表）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五、</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一般公共预算支出预算表（见附表）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六、</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一般公共预算安排基本支出分经济科目表（见附表）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七、</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政府性基金预算收入表（见附表）</w:t>
      </w:r>
    </w:p>
    <w:p>
      <w:pPr>
        <w:ind w:firstLine="640" w:firstLineChars="200"/>
        <w:rPr>
          <w:rFonts w:ascii="仿宋_GB2312" w:hAnsi="仿宋" w:eastAsia="仿宋_GB2312"/>
          <w:sz w:val="32"/>
          <w:szCs w:val="32"/>
        </w:rPr>
      </w:pPr>
      <w:r>
        <w:rPr>
          <w:rFonts w:hint="eastAsia" w:ascii="仿宋_GB2312" w:hAnsi="仿宋" w:eastAsia="仿宋_GB2312"/>
          <w:sz w:val="32"/>
          <w:szCs w:val="32"/>
        </w:rPr>
        <w:t>八、</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政府性基金预算支出</w:t>
      </w:r>
      <w:r>
        <w:rPr>
          <w:rFonts w:hint="eastAsia" w:ascii="仿宋_GB2312" w:hAnsi="仿宋" w:eastAsia="仿宋_GB2312"/>
          <w:sz w:val="32"/>
          <w:szCs w:val="32"/>
          <w:lang w:val="en-US" w:eastAsia="zh-CN"/>
        </w:rPr>
        <w:t>预算表</w:t>
      </w:r>
      <w:r>
        <w:rPr>
          <w:rFonts w:hint="eastAsia" w:ascii="仿宋_GB2312" w:hAnsi="仿宋" w:eastAsia="仿宋_GB2312"/>
          <w:sz w:val="32"/>
          <w:szCs w:val="32"/>
        </w:rPr>
        <w:t>（见附表）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九、</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“三公”经费预算表（见附表）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十、</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机关运行经费预算财政拨款情况统计表（见附表）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十一、</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w:t>
      </w:r>
      <w:r>
        <w:rPr>
          <w:rFonts w:hint="eastAsia" w:ascii="仿宋_GB2312" w:hAnsi="仿宋" w:eastAsia="仿宋_GB2312"/>
          <w:sz w:val="32"/>
          <w:szCs w:val="32"/>
        </w:rPr>
        <w:t>一般公共预算安排支出分经济科目表（见附表）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十二、</w:t>
      </w:r>
      <w:r>
        <w:rPr>
          <w:rFonts w:hint="eastAsia" w:ascii="仿宋_GB2312" w:hAnsi="仿宋" w:eastAsia="仿宋_GB2312"/>
          <w:sz w:val="32"/>
          <w:szCs w:val="32"/>
          <w:lang w:eastAsia="zh-CN"/>
        </w:rPr>
        <w:t>曲沃县能源局</w:t>
      </w:r>
      <w:r>
        <w:rPr>
          <w:rFonts w:hint="eastAsia" w:ascii="仿宋_GB2312" w:hAnsi="仿宋" w:eastAsia="仿宋_GB2312"/>
          <w:sz w:val="32"/>
          <w:szCs w:val="32"/>
          <w:lang w:val="en-US" w:eastAsia="zh-CN"/>
        </w:rPr>
        <w:t>部门2022年一般公共预算安排基本支出分经济科目表（见附表）</w:t>
      </w:r>
    </w:p>
    <w:p>
      <w:pPr>
        <w:jc w:val="center"/>
        <w:rPr>
          <w:rFonts w:ascii="黑体" w:hAnsi="仿宋" w:eastAsia="黑体"/>
          <w:sz w:val="32"/>
          <w:szCs w:val="32"/>
        </w:rPr>
      </w:pPr>
      <w:r>
        <w:rPr>
          <w:rFonts w:hint="eastAsia" w:ascii="黑体" w:hAnsi="仿宋" w:eastAsia="黑体"/>
          <w:sz w:val="32"/>
          <w:szCs w:val="32"/>
        </w:rPr>
        <w:t xml:space="preserve">第三部分  </w:t>
      </w:r>
      <w:r>
        <w:rPr>
          <w:rFonts w:hint="eastAsia" w:ascii="仿宋_GB2312" w:hAnsi="仿宋" w:eastAsia="仿宋_GB2312"/>
          <w:sz w:val="32"/>
          <w:szCs w:val="32"/>
        </w:rPr>
        <w:t>20</w:t>
      </w:r>
      <w:r>
        <w:rPr>
          <w:rFonts w:hint="default" w:ascii="仿宋_GB2312" w:hAnsi="仿宋" w:eastAsia="仿宋_GB2312"/>
          <w:sz w:val="32"/>
          <w:szCs w:val="32"/>
          <w:lang w:val="en-US"/>
        </w:rPr>
        <w:t>2</w:t>
      </w:r>
      <w:r>
        <w:rPr>
          <w:rFonts w:hint="eastAsia" w:ascii="仿宋_GB2312" w:hAnsi="仿宋" w:eastAsia="仿宋_GB2312"/>
          <w:sz w:val="32"/>
          <w:szCs w:val="32"/>
          <w:lang w:val="en-US" w:eastAsia="zh-CN"/>
        </w:rPr>
        <w:t>2</w:t>
      </w:r>
      <w:r>
        <w:rPr>
          <w:rFonts w:hint="eastAsia" w:ascii="黑体" w:hAnsi="仿宋" w:eastAsia="黑体"/>
          <w:sz w:val="32"/>
          <w:szCs w:val="32"/>
        </w:rPr>
        <w:t>年度部门预算情况说明</w:t>
      </w:r>
    </w:p>
    <w:p>
      <w:pPr>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lang w:val="en-US" w:eastAsia="zh-CN"/>
        </w:rPr>
        <w:t>一、收支预算总体情况说明</w:t>
      </w:r>
    </w:p>
    <w:p>
      <w:p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曲沃县能源局2022年度收入、支出预算总计604.08万元，与上年相比收、支预算总计各减少287.41万元，减少32.24%。其中：</w:t>
      </w:r>
    </w:p>
    <w:p>
      <w:pPr>
        <w:numPr>
          <w:ilvl w:val="0"/>
          <w:numId w:val="1"/>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收入预算总计604.08万元。包括：</w:t>
      </w:r>
    </w:p>
    <w:p>
      <w:pPr>
        <w:numPr>
          <w:ilvl w:val="0"/>
          <w:numId w:val="2"/>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财政拨款收入预算总计604.08万元。</w:t>
      </w:r>
    </w:p>
    <w:p>
      <w:pPr>
        <w:numPr>
          <w:ilvl w:val="0"/>
          <w:numId w:val="3"/>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般公共预算收入预算604.08万元，与上年相比增加412.58万元，增加207.44%。主要原因是2022年预算中一般公共预算支出增加特定目标类清洁取暖及“煤改气”项目费用327.88万元和其他运转公用类物业管理服务费用3万元、能源行业调查服务费用6万元、办公场所维修改造费用20万元、购置办公用资产、设备费用14.7万元、办公场所用电、冬季取暖经费用6万元、</w:t>
      </w:r>
      <w:r>
        <w:rPr>
          <w:rFonts w:hint="eastAsia" w:ascii="仿宋_GB2312" w:hAnsi="仿宋" w:eastAsia="仿宋_GB2312"/>
          <w:color w:val="auto"/>
          <w:sz w:val="32"/>
          <w:szCs w:val="32"/>
          <w:u w:val="none"/>
          <w:lang w:val="en-US" w:eastAsia="zh-CN"/>
        </w:rPr>
        <w:t>散煤治理及清洁取暖费用26万元、</w:t>
      </w:r>
      <w:r>
        <w:rPr>
          <w:rFonts w:hint="eastAsia" w:ascii="仿宋_GB2312" w:hAnsi="仿宋" w:eastAsia="仿宋_GB2312"/>
          <w:sz w:val="32"/>
          <w:szCs w:val="32"/>
          <w:u w:val="none"/>
          <w:lang w:val="en-US" w:eastAsia="zh-CN"/>
        </w:rPr>
        <w:t>节能监察执法及能源综合治理费用9万元。</w:t>
      </w:r>
    </w:p>
    <w:p>
      <w:pPr>
        <w:numPr>
          <w:ilvl w:val="0"/>
          <w:numId w:val="3"/>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政府性基金收入预算0万元，与上年项目减少</w:t>
      </w:r>
      <w:r>
        <w:rPr>
          <w:rFonts w:hint="eastAsia" w:ascii="仿宋_GB2312" w:hAnsi="仿宋" w:eastAsia="仿宋_GB2312"/>
          <w:color w:val="auto"/>
          <w:sz w:val="32"/>
          <w:szCs w:val="32"/>
          <w:highlight w:val="none"/>
          <w:u w:val="none"/>
          <w:lang w:val="en-US" w:eastAsia="zh-CN"/>
        </w:rPr>
        <w:t>695</w:t>
      </w:r>
      <w:r>
        <w:rPr>
          <w:rFonts w:hint="eastAsia" w:ascii="仿宋_GB2312" w:hAnsi="仿宋" w:eastAsia="仿宋_GB2312"/>
          <w:sz w:val="32"/>
          <w:szCs w:val="32"/>
          <w:u w:val="none"/>
          <w:lang w:val="en-US" w:eastAsia="zh-CN"/>
        </w:rPr>
        <w:t>万元，减少100%。主要原因是按照财政部门统一安排2021年列入政府性基金的清洁取暖及“煤改气”项目费用项目列入一般公共预算。</w:t>
      </w:r>
    </w:p>
    <w:p>
      <w:pPr>
        <w:numPr>
          <w:ilvl w:val="0"/>
          <w:numId w:val="2"/>
        </w:numPr>
        <w:ind w:left="640" w:leftChars="0" w:firstLine="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无财政专户管理资金。</w:t>
      </w:r>
    </w:p>
    <w:p>
      <w:pPr>
        <w:numPr>
          <w:ilvl w:val="0"/>
          <w:numId w:val="2"/>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无国有资本经营收入。</w:t>
      </w:r>
    </w:p>
    <w:p>
      <w:pPr>
        <w:numPr>
          <w:ilvl w:val="0"/>
          <w:numId w:val="2"/>
        </w:numPr>
        <w:ind w:left="640" w:leftChars="0" w:firstLine="0" w:firstLineChars="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无其他资金收入。</w:t>
      </w:r>
    </w:p>
    <w:p>
      <w:pPr>
        <w:numPr>
          <w:ilvl w:val="0"/>
          <w:numId w:val="1"/>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支出预算总计604.08万元。包括：</w:t>
      </w:r>
    </w:p>
    <w:p>
      <w:pPr>
        <w:numPr>
          <w:ilvl w:val="0"/>
          <w:numId w:val="4"/>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一般公共服务支出604.08万元，主要用于人员支出及项目支出。同比增加207.44%，主要是2021年列入政府型基金的项目今年列入一般公共预算支出。</w:t>
      </w:r>
    </w:p>
    <w:p>
      <w:pPr>
        <w:numPr>
          <w:ilvl w:val="0"/>
          <w:numId w:val="0"/>
        </w:numPr>
        <w:ind w:left="-16" w:leftChars="-503" w:hanging="1040" w:hangingChars="325"/>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2、社会保障和就业支出42.16万元，主要用于缴纳职工各项社保。与上年基本持平。</w:t>
      </w:r>
    </w:p>
    <w:p>
      <w:pPr>
        <w:numPr>
          <w:ilvl w:val="0"/>
          <w:numId w:val="0"/>
        </w:numPr>
        <w:ind w:left="-15" w:leftChars="-7" w:firstLine="649" w:firstLineChars="203"/>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3、卫生健康支出6.87万元，主要用于缴纳职工医疗保险。与上年基本持平。</w:t>
      </w:r>
    </w:p>
    <w:p>
      <w:pPr>
        <w:numPr>
          <w:ilvl w:val="0"/>
          <w:numId w:val="0"/>
        </w:numPr>
        <w:ind w:left="-15" w:leftChars="-7" w:firstLine="652" w:firstLineChars="204"/>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4、住房保障支出11.49万元，主要用于职工缴纳住房公积金。与上年基本持平。</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二、收入预算情况说明</w:t>
      </w:r>
    </w:p>
    <w:p>
      <w:pPr>
        <w:numPr>
          <w:ilvl w:val="0"/>
          <w:numId w:val="0"/>
        </w:numPr>
        <w:ind w:left="-15" w:leftChars="-7" w:firstLine="652" w:firstLineChars="204"/>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曲沃县能源局本年收入预算合计604.08万元，其中：一般公共预算收入604.08万元，占100%；政府性基金预算收入0万元，占0%。</w:t>
      </w:r>
    </w:p>
    <w:p>
      <w:pPr>
        <w:numPr>
          <w:ilvl w:val="0"/>
          <w:numId w:val="0"/>
        </w:numPr>
        <w:ind w:left="-15" w:leftChars="-7" w:firstLine="655" w:firstLineChars="204"/>
        <w:rPr>
          <w:rFonts w:hint="default"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三、支出预算情况说明</w:t>
      </w:r>
    </w:p>
    <w:p>
      <w:pPr>
        <w:numPr>
          <w:ilvl w:val="0"/>
          <w:numId w:val="0"/>
        </w:numPr>
        <w:ind w:left="-15" w:leftChars="-7" w:firstLine="16" w:firstLineChars="5"/>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曲沃县能源局本年支出预算合计604.08万元，其中：基本支出160.50万元，占26.57%；项目支出443.58万元，占73.43%。</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财政拨款收支预算总体情况说明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曲沃县能源局2022年财政拨款收、支总预算604.08万元。与上年相比增加412.58万元，增加207.44%。。2022年预算中基本支出与上年基本持平。项目支出增加412.58万元。</w:t>
      </w:r>
    </w:p>
    <w:p>
      <w:pPr>
        <w:numPr>
          <w:ilvl w:val="0"/>
          <w:numId w:val="5"/>
        </w:numPr>
        <w:ind w:left="641" w:leftChars="0" w:firstLine="0" w:firstLineChars="0"/>
        <w:rPr>
          <w:rFonts w:hint="eastAsia" w:ascii="仿宋_GB2312" w:hAnsi="仿宋" w:eastAsia="仿宋_GB2312"/>
          <w:b/>
          <w:bCs/>
          <w:sz w:val="32"/>
          <w:szCs w:val="32"/>
          <w:highlight w:val="none"/>
          <w:u w:val="none"/>
          <w:lang w:val="en-US" w:eastAsia="zh-CN"/>
        </w:rPr>
      </w:pPr>
      <w:r>
        <w:rPr>
          <w:rFonts w:hint="eastAsia" w:ascii="仿宋_GB2312" w:hAnsi="仿宋" w:eastAsia="仿宋_GB2312"/>
          <w:b/>
          <w:bCs/>
          <w:sz w:val="32"/>
          <w:szCs w:val="32"/>
          <w:highlight w:val="none"/>
          <w:u w:val="none"/>
          <w:lang w:val="en-US" w:eastAsia="zh-CN"/>
        </w:rPr>
        <w:t>一般公共预算支出预算情况说明</w:t>
      </w:r>
    </w:p>
    <w:p>
      <w:pPr>
        <w:numPr>
          <w:ilvl w:val="0"/>
          <w:numId w:val="0"/>
        </w:numPr>
        <w:ind w:firstLine="640" w:firstLineChars="200"/>
        <w:rPr>
          <w:rFonts w:hint="eastAsia" w:ascii="仿宋_GB2312" w:hAnsi="仿宋" w:eastAsia="仿宋_GB2312"/>
          <w:sz w:val="32"/>
          <w:szCs w:val="32"/>
          <w:highlight w:val="yellow"/>
          <w:u w:val="none"/>
          <w:lang w:val="en-US" w:eastAsia="zh-CN"/>
        </w:rPr>
      </w:pPr>
      <w:r>
        <w:rPr>
          <w:rFonts w:hint="eastAsia" w:ascii="仿宋_GB2312" w:hAnsi="仿宋" w:eastAsia="仿宋_GB2312"/>
          <w:sz w:val="32"/>
          <w:szCs w:val="32"/>
          <w:highlight w:val="none"/>
          <w:u w:val="none"/>
          <w:lang w:val="en-US" w:eastAsia="zh-CN"/>
        </w:rPr>
        <w:t>曲沃县能源局2022年一般公共预算支出预算604.08万元，与上年相比增加407.59万元，增加207.44%。</w:t>
      </w:r>
      <w:r>
        <w:rPr>
          <w:rFonts w:hint="eastAsia" w:ascii="仿宋_GB2312" w:hAnsi="仿宋" w:eastAsia="仿宋_GB2312"/>
          <w:sz w:val="32"/>
          <w:szCs w:val="32"/>
          <w:u w:val="none"/>
          <w:lang w:val="en-US" w:eastAsia="zh-CN"/>
        </w:rPr>
        <w:t>主要是2021年列入政府型基金的项目今年列入一般公共预算支出。</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一般公共预算基本支出预算情况说明</w:t>
      </w:r>
    </w:p>
    <w:p>
      <w:pPr>
        <w:numPr>
          <w:ilvl w:val="0"/>
          <w:numId w:val="6"/>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人员经费145.92万元。主要包括：基本工资56.82万元 、津贴补贴</w:t>
      </w:r>
      <w:r>
        <w:rPr>
          <w:rFonts w:hint="eastAsia" w:ascii="仿宋_GB2312" w:hAnsi="仿宋" w:eastAsia="仿宋_GB2312"/>
          <w:sz w:val="32"/>
          <w:szCs w:val="32"/>
          <w:u w:val="none"/>
          <w:lang w:val="en-US" w:eastAsia="zh-CN"/>
        </w:rPr>
        <w:tab/>
      </w:r>
      <w:r>
        <w:rPr>
          <w:rFonts w:hint="eastAsia" w:ascii="仿宋_GB2312" w:hAnsi="仿宋" w:eastAsia="仿宋_GB2312"/>
          <w:sz w:val="32"/>
          <w:szCs w:val="32"/>
          <w:u w:val="none"/>
          <w:lang w:val="en-US" w:eastAsia="zh-CN"/>
        </w:rPr>
        <w:t>17.83万元 、奖金1.79万元 、绩效工资26.09万元 、机关事业单位基本养老保险缴费</w:t>
      </w:r>
      <w:r>
        <w:rPr>
          <w:rFonts w:hint="eastAsia" w:ascii="仿宋_GB2312" w:hAnsi="仿宋" w:eastAsia="仿宋_GB2312"/>
          <w:sz w:val="32"/>
          <w:szCs w:val="32"/>
          <w:u w:val="none"/>
          <w:lang w:val="en-US" w:eastAsia="zh-CN"/>
        </w:rPr>
        <w:tab/>
      </w:r>
      <w:r>
        <w:rPr>
          <w:rFonts w:hint="eastAsia" w:ascii="仿宋_GB2312" w:hAnsi="仿宋" w:eastAsia="仿宋_GB2312"/>
          <w:sz w:val="32"/>
          <w:szCs w:val="32"/>
          <w:u w:val="none"/>
          <w:lang w:val="en-US" w:eastAsia="zh-CN"/>
        </w:rPr>
        <w:t>15.33万元 、职业年金缴费7.66万元 、职工基本医疗保险缴费6.71万元 、其他社会保障缴费0.97万元 、住房公积金</w:t>
      </w:r>
      <w:r>
        <w:rPr>
          <w:rFonts w:hint="eastAsia" w:ascii="仿宋_GB2312" w:hAnsi="仿宋" w:eastAsia="仿宋_GB2312"/>
          <w:sz w:val="32"/>
          <w:szCs w:val="32"/>
          <w:u w:val="none"/>
          <w:lang w:val="en-US" w:eastAsia="zh-CN"/>
        </w:rPr>
        <w:tab/>
      </w:r>
      <w:r>
        <w:rPr>
          <w:rFonts w:hint="eastAsia" w:ascii="仿宋_GB2312" w:hAnsi="仿宋" w:eastAsia="仿宋_GB2312"/>
          <w:sz w:val="32"/>
          <w:szCs w:val="32"/>
          <w:u w:val="none"/>
          <w:lang w:val="en-US" w:eastAsia="zh-CN"/>
        </w:rPr>
        <w:t>11.49万元 、退休费1.23万元 。</w:t>
      </w:r>
    </w:p>
    <w:p>
      <w:pPr>
        <w:numPr>
          <w:ilvl w:val="0"/>
          <w:numId w:val="6"/>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公用经费14.58万元。差旅费1.80万元 、电费1.80万元 、办公费2.80万元 、其他交通费用4.35万元 、工会经费0.96万元 、福利费2.87万元。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政府性基金预算支出预算情况说明</w:t>
      </w:r>
    </w:p>
    <w:p>
      <w:pPr>
        <w:numPr>
          <w:ilvl w:val="0"/>
          <w:numId w:val="0"/>
        </w:numPr>
        <w:ind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曲沃县能源局2022年政府性基金支出预算支出0万元，与上年项目减少695万元，减少100%。主要原因是按照财政部门统一安排2021年列入政府性基金财政预算的集中供热 和农村“煤改气”补贴和“煤改电”改造工程建设补贴两个项目列入一般公共预算。</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一般公共预算“三公”经费预算情况说明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曲沃县能源局2022年一般公共预算拨款安排的“三公”经费预算支出中，因公出国（境）费支出0万元；公务用车购置及运行费支出0万元，占“三公”经费的 0%；</w:t>
      </w:r>
      <w:r>
        <w:rPr>
          <w:rFonts w:hint="eastAsia" w:ascii="仿宋_GB2312" w:hAnsi="仿宋" w:eastAsia="仿宋_GB2312"/>
          <w:color w:val="auto"/>
          <w:sz w:val="32"/>
          <w:szCs w:val="32"/>
          <w:u w:val="none"/>
          <w:lang w:val="en-US" w:eastAsia="zh-CN"/>
        </w:rPr>
        <w:t>公务接待费支出0万元，占“三公”经费的0%。具</w:t>
      </w:r>
      <w:r>
        <w:rPr>
          <w:rFonts w:hint="eastAsia" w:ascii="仿宋_GB2312" w:hAnsi="仿宋" w:eastAsia="仿宋_GB2312"/>
          <w:sz w:val="32"/>
          <w:szCs w:val="32"/>
          <w:u w:val="none"/>
          <w:lang w:val="en-US" w:eastAsia="zh-CN"/>
        </w:rPr>
        <w:t>体情况如下：</w:t>
      </w:r>
    </w:p>
    <w:p>
      <w:pPr>
        <w:numPr>
          <w:ilvl w:val="0"/>
          <w:numId w:val="7"/>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因公出国（境）费预算支出0万元，与上年预算无变动。</w:t>
      </w:r>
    </w:p>
    <w:p>
      <w:pPr>
        <w:numPr>
          <w:ilvl w:val="0"/>
          <w:numId w:val="7"/>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公务用车购置及运行费预算支出0万元。其中：</w:t>
      </w:r>
    </w:p>
    <w:p>
      <w:pPr>
        <w:numPr>
          <w:ilvl w:val="0"/>
          <w:numId w:val="8"/>
        </w:numPr>
        <w:ind w:left="0" w:leftChars="0" w:firstLine="640" w:firstLineChars="20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公务用车购置预算支出0万元，与上年预算无变动。</w:t>
      </w:r>
    </w:p>
    <w:p>
      <w:pPr>
        <w:numPr>
          <w:ilvl w:val="0"/>
          <w:numId w:val="8"/>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公务用车运行维护费预算支出0万元，比上年预算减少0万元，主要原因是我单位公务用车划入直属机关事务服务中心，我单位已无公务用车。</w:t>
      </w:r>
    </w:p>
    <w:p>
      <w:pPr>
        <w:numPr>
          <w:ilvl w:val="0"/>
          <w:numId w:val="7"/>
        </w:numPr>
        <w:ind w:left="0" w:leftChars="0" w:firstLine="640" w:firstLineChars="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公务接待预算支出0万元，与上年无变动。</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一般公共预算机关运行经费支出预算情况说明</w:t>
      </w:r>
    </w:p>
    <w:p>
      <w:pPr>
        <w:numPr>
          <w:ilvl w:val="0"/>
          <w:numId w:val="0"/>
        </w:numPr>
        <w:ind w:firstLine="640"/>
        <w:rPr>
          <w:rFonts w:hint="eastAsia" w:ascii="仿宋_GB2312" w:hAnsi="仿宋" w:eastAsia="仿宋_GB2312"/>
          <w:sz w:val="32"/>
          <w:szCs w:val="32"/>
          <w:highlight w:val="none"/>
          <w:u w:val="none"/>
          <w:lang w:val="en-US" w:eastAsia="zh-CN"/>
        </w:rPr>
      </w:pPr>
      <w:r>
        <w:rPr>
          <w:rFonts w:hint="eastAsia" w:ascii="仿宋_GB2312" w:hAnsi="仿宋" w:eastAsia="仿宋_GB2312"/>
          <w:sz w:val="32"/>
          <w:szCs w:val="32"/>
          <w:highlight w:val="none"/>
          <w:u w:val="none"/>
          <w:lang w:val="en-US" w:eastAsia="zh-CN"/>
        </w:rPr>
        <w:t>2022年本部门一般公共预算机关运行经费预算支出129.32万元，与上年相比增加84.7万元，增加273.23%，主要原因是涉及办公场所搬迁、维修改造20万元、购置办公用资产、设备14.7万元、办公场所用电、冬季取暖6万元、物业管理3万元、委托业务费6万元、散煤治理及清洁</w:t>
      </w:r>
      <w:r>
        <w:rPr>
          <w:rFonts w:hint="eastAsia" w:ascii="仿宋_GB2312" w:hAnsi="仿宋" w:eastAsia="仿宋_GB2312"/>
          <w:color w:val="auto"/>
          <w:sz w:val="32"/>
          <w:szCs w:val="32"/>
          <w:highlight w:val="none"/>
          <w:u w:val="none"/>
          <w:lang w:val="en-US" w:eastAsia="zh-CN"/>
        </w:rPr>
        <w:t>取暖办公经费26万元、节能监察执</w:t>
      </w:r>
      <w:r>
        <w:rPr>
          <w:rFonts w:hint="eastAsia" w:ascii="仿宋_GB2312" w:hAnsi="仿宋" w:eastAsia="仿宋_GB2312"/>
          <w:sz w:val="32"/>
          <w:szCs w:val="32"/>
          <w:highlight w:val="none"/>
          <w:u w:val="none"/>
          <w:lang w:val="en-US" w:eastAsia="zh-CN"/>
        </w:rPr>
        <w:t>法及能源综合治理办公经费9万元，</w:t>
      </w:r>
      <w:r>
        <w:rPr>
          <w:rFonts w:hint="eastAsia" w:ascii="仿宋_GB2312" w:hAnsi="仿宋" w:eastAsia="仿宋_GB2312"/>
          <w:sz w:val="32"/>
          <w:szCs w:val="32"/>
          <w:u w:val="none"/>
          <w:lang w:val="en-US" w:eastAsia="zh-CN"/>
        </w:rPr>
        <w:t>原因是2022年预算一体化改革，局下属事业单位公用经费全部在能源局下列支</w:t>
      </w:r>
      <w:r>
        <w:rPr>
          <w:rFonts w:hint="eastAsia" w:ascii="仿宋_GB2312" w:hAnsi="仿宋" w:eastAsia="仿宋_GB2312"/>
          <w:sz w:val="32"/>
          <w:szCs w:val="32"/>
          <w:highlight w:val="none"/>
          <w:u w:val="none"/>
          <w:lang w:val="en-US" w:eastAsia="zh-CN"/>
        </w:rPr>
        <w:t>。</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政府采购支出预算情况说明</w:t>
      </w:r>
    </w:p>
    <w:p>
      <w:pPr>
        <w:numPr>
          <w:ilvl w:val="0"/>
          <w:numId w:val="0"/>
        </w:numPr>
        <w:ind w:left="0" w:leftChars="0" w:firstLine="640" w:firstLineChars="20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2022年度政府采购支出预算总额33.70万元。其中：采购印刷纸1万元、购置办公用资产、设备14.70万元、采购印刷服务18.00万元。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国有资产占用情况</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本部门共有车辆0辆，其中：一般公务用车0辆、执法执勤用车0辆、特种专业技术用车0辆、其他用车0辆。</w:t>
      </w:r>
    </w:p>
    <w:p>
      <w:pPr>
        <w:numPr>
          <w:ilvl w:val="0"/>
          <w:numId w:val="0"/>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highlight w:val="none"/>
          <w:u w:val="none"/>
          <w:lang w:val="en-US" w:eastAsia="zh-CN"/>
        </w:rPr>
        <w:t>本部门办公用房面积：</w:t>
      </w:r>
      <w:r>
        <w:rPr>
          <w:rStyle w:val="5"/>
          <w:rFonts w:hint="eastAsia" w:ascii="仿宋_GB2312" w:hAnsi="仿宋" w:eastAsia="仿宋_GB2312"/>
          <w:kern w:val="2"/>
          <w:sz w:val="32"/>
          <w:szCs w:val="32"/>
          <w:highlight w:val="none"/>
          <w:u w:val="none"/>
          <w:lang w:val="en-US" w:eastAsia="zh-CN" w:bidi="ar-SA"/>
        </w:rPr>
        <w:t>0</w:t>
      </w:r>
      <w:r>
        <w:rPr>
          <w:rFonts w:hint="eastAsia" w:ascii="仿宋_GB2312" w:hAnsi="仿宋" w:eastAsia="仿宋_GB2312"/>
          <w:sz w:val="32"/>
          <w:szCs w:val="32"/>
          <w:u w:val="none"/>
          <w:lang w:val="en-US" w:eastAsia="zh-CN"/>
        </w:rPr>
        <w:t>平方米，</w:t>
      </w:r>
      <w:r>
        <w:rPr>
          <w:rStyle w:val="5"/>
          <w:rFonts w:hint="eastAsia" w:ascii="仿宋_GB2312" w:hAnsi="仿宋" w:eastAsia="仿宋_GB2312"/>
          <w:kern w:val="2"/>
          <w:sz w:val="32"/>
          <w:szCs w:val="32"/>
          <w:highlight w:val="none"/>
          <w:u w:val="none"/>
          <w:lang w:val="en-US" w:eastAsia="zh-CN" w:bidi="ar-SA"/>
        </w:rPr>
        <w:t>未</w:t>
      </w:r>
      <w:r>
        <w:rPr>
          <w:rFonts w:hint="eastAsia" w:ascii="仿宋_GB2312" w:hAnsi="仿宋" w:eastAsia="仿宋_GB2312"/>
          <w:sz w:val="32"/>
          <w:szCs w:val="32"/>
          <w:highlight w:val="none"/>
          <w:u w:val="none"/>
          <w:lang w:val="en-US" w:eastAsia="zh-CN"/>
        </w:rPr>
        <w:t>占用国有资产</w:t>
      </w:r>
      <w:r>
        <w:rPr>
          <w:rFonts w:hint="eastAsia" w:ascii="仿宋_GB2312" w:hAnsi="仿宋" w:eastAsia="仿宋_GB2312"/>
          <w:sz w:val="32"/>
          <w:szCs w:val="32"/>
          <w:u w:val="none"/>
          <w:lang w:val="en-US" w:eastAsia="zh-CN"/>
        </w:rPr>
        <w:t>。</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预算绩效目标设置情况说明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2022年度，本部门单位共10个项目纳入绩效目标管理，涉及财政性资金合计443.58 万元；本部门单位整体支出纳入绩效目标管理，涉及财政性资金604.08 万元。</w:t>
      </w:r>
    </w:p>
    <w:p>
      <w:pPr>
        <w:numPr>
          <w:ilvl w:val="0"/>
          <w:numId w:val="5"/>
        </w:numPr>
        <w:ind w:left="641" w:leftChars="0" w:firstLine="0" w:firstLineChars="0"/>
        <w:rPr>
          <w:rFonts w:hint="eastAsia" w:ascii="仿宋_GB2312" w:hAnsi="仿宋" w:eastAsia="仿宋_GB2312"/>
          <w:b/>
          <w:bCs/>
          <w:sz w:val="32"/>
          <w:szCs w:val="32"/>
          <w:u w:val="none"/>
          <w:lang w:val="en-US" w:eastAsia="zh-CN"/>
        </w:rPr>
      </w:pPr>
      <w:r>
        <w:rPr>
          <w:rFonts w:hint="eastAsia" w:ascii="仿宋_GB2312" w:hAnsi="仿宋" w:eastAsia="仿宋_GB2312"/>
          <w:b/>
          <w:bCs/>
          <w:sz w:val="32"/>
          <w:szCs w:val="32"/>
          <w:u w:val="none"/>
          <w:lang w:val="en-US" w:eastAsia="zh-CN"/>
        </w:rPr>
        <w:t>其他说明</w:t>
      </w:r>
    </w:p>
    <w:p>
      <w:pPr>
        <w:numPr>
          <w:ilvl w:val="0"/>
          <w:numId w:val="0"/>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我单位无其他需要说明的事项，未使用政府债券资金。</w:t>
      </w:r>
    </w:p>
    <w:p>
      <w:pPr>
        <w:numPr>
          <w:ilvl w:val="0"/>
          <w:numId w:val="0"/>
        </w:numPr>
        <w:jc w:val="center"/>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第四部分名词解释</w:t>
      </w:r>
    </w:p>
    <w:p>
      <w:pPr>
        <w:numPr>
          <w:ilvl w:val="0"/>
          <w:numId w:val="9"/>
        </w:numPr>
        <w:ind w:firstLine="640"/>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财政拨款：指一般公共预算财政拨款、政府性基金预算财政拨款和国有资本经营预算拨款。</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单位资金收入：包括事业收入、事业单位经营收入、上级补助收入、附属单位上缴收入、其他收入等。</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基本支出：指为保障机构正常运转、完成工作任务而发生的人员支</w:t>
      </w:r>
      <w:bookmarkStart w:id="0" w:name="_GoBack"/>
      <w:bookmarkEnd w:id="0"/>
      <w:r>
        <w:rPr>
          <w:rFonts w:hint="eastAsia" w:ascii="仿宋_GB2312" w:hAnsi="仿宋" w:eastAsia="仿宋_GB2312"/>
          <w:sz w:val="32"/>
          <w:szCs w:val="32"/>
          <w:u w:val="none"/>
          <w:lang w:val="en-US" w:eastAsia="zh-CN"/>
        </w:rPr>
        <w:t>出和公用支出。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项目支出：指在基本支出之外为完成特定工作任务和事业发展目标所发生的支出。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pPr>
        <w:numPr>
          <w:ilvl w:val="0"/>
          <w:numId w:val="9"/>
        </w:numPr>
        <w:ind w:firstLine="640"/>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pPr>
        <w:numPr>
          <w:ilvl w:val="0"/>
          <w:numId w:val="0"/>
        </w:numPr>
        <w:jc w:val="cente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w:t>
      </w: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p>
    <w:p>
      <w:pPr>
        <w:numPr>
          <w:ilvl w:val="0"/>
          <w:numId w:val="0"/>
        </w:numPr>
        <w:jc w:val="center"/>
        <w:rPr>
          <w:rFonts w:hint="eastAsia"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 xml:space="preserve">                                 曲沃县能源局</w:t>
      </w:r>
    </w:p>
    <w:p>
      <w:pPr>
        <w:numPr>
          <w:ilvl w:val="0"/>
          <w:numId w:val="0"/>
        </w:numPr>
        <w:jc w:val="right"/>
        <w:rPr>
          <w:rFonts w:hint="default" w:ascii="仿宋_GB2312" w:hAnsi="仿宋" w:eastAsia="仿宋_GB2312"/>
          <w:sz w:val="32"/>
          <w:szCs w:val="32"/>
          <w:u w:val="none"/>
          <w:lang w:val="en-US" w:eastAsia="zh-CN"/>
        </w:rPr>
      </w:pPr>
      <w:r>
        <w:rPr>
          <w:rFonts w:hint="eastAsia" w:ascii="仿宋_GB2312" w:hAnsi="仿宋" w:eastAsia="仿宋_GB2312"/>
          <w:sz w:val="32"/>
          <w:szCs w:val="32"/>
          <w:u w:val="none"/>
          <w:lang w:val="en-US" w:eastAsia="zh-CN"/>
        </w:rPr>
        <w:t>2022年3月4日</w:t>
      </w:r>
    </w:p>
    <w:p>
      <w:pPr>
        <w:numPr>
          <w:ilvl w:val="0"/>
          <w:numId w:val="0"/>
        </w:numPr>
        <w:rPr>
          <w:rFonts w:hint="default" w:ascii="仿宋_GB2312" w:hAnsi="仿宋" w:eastAsia="仿宋_GB2312"/>
          <w:sz w:val="32"/>
          <w:szCs w:val="32"/>
          <w:u w:val="none"/>
          <w:lang w:val="en-US" w:eastAsia="zh-CN"/>
        </w:rPr>
      </w:pPr>
    </w:p>
    <w:p>
      <w:pPr>
        <w:numPr>
          <w:ilvl w:val="0"/>
          <w:numId w:val="0"/>
        </w:numPr>
        <w:rPr>
          <w:rFonts w:hint="default" w:ascii="仿宋_GB2312" w:hAnsi="仿宋" w:eastAsia="仿宋_GB2312"/>
          <w:sz w:val="32"/>
          <w:szCs w:val="32"/>
          <w:u w:val="none"/>
          <w:lang w:val="en-US" w:eastAsia="zh-CN"/>
        </w:rPr>
      </w:pPr>
    </w:p>
    <w:p>
      <w:pPr>
        <w:ind w:firstLine="640" w:firstLineChars="200"/>
        <w:rPr>
          <w:rFonts w:hint="eastAsia" w:ascii="仿宋_GB2312" w:hAnsi="仿宋" w:eastAsia="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Verdana,Arial">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D8D46"/>
    <w:multiLevelType w:val="singleLevel"/>
    <w:tmpl w:val="8A6D8D46"/>
    <w:lvl w:ilvl="0" w:tentative="0">
      <w:start w:val="1"/>
      <w:numFmt w:val="decimal"/>
      <w:suff w:val="nothing"/>
      <w:lvlText w:val="%1、"/>
      <w:lvlJc w:val="left"/>
      <w:pPr>
        <w:ind w:left="640" w:firstLine="0"/>
      </w:pPr>
    </w:lvl>
  </w:abstractNum>
  <w:abstractNum w:abstractNumId="1">
    <w:nsid w:val="8D1C10BF"/>
    <w:multiLevelType w:val="singleLevel"/>
    <w:tmpl w:val="8D1C10BF"/>
    <w:lvl w:ilvl="0" w:tentative="0">
      <w:start w:val="1"/>
      <w:numFmt w:val="chineseCounting"/>
      <w:suff w:val="nothing"/>
      <w:lvlText w:val="%1、"/>
      <w:lvlJc w:val="left"/>
      <w:rPr>
        <w:rFonts w:hint="eastAsia"/>
      </w:rPr>
    </w:lvl>
  </w:abstractNum>
  <w:abstractNum w:abstractNumId="2">
    <w:nsid w:val="B581C88E"/>
    <w:multiLevelType w:val="singleLevel"/>
    <w:tmpl w:val="B581C88E"/>
    <w:lvl w:ilvl="0" w:tentative="0">
      <w:start w:val="1"/>
      <w:numFmt w:val="chineseCounting"/>
      <w:suff w:val="nothing"/>
      <w:lvlText w:val="（%1）"/>
      <w:lvlJc w:val="left"/>
      <w:rPr>
        <w:rFonts w:hint="eastAsia"/>
      </w:rPr>
    </w:lvl>
  </w:abstractNum>
  <w:abstractNum w:abstractNumId="3">
    <w:nsid w:val="BD477A8A"/>
    <w:multiLevelType w:val="singleLevel"/>
    <w:tmpl w:val="BD477A8A"/>
    <w:lvl w:ilvl="0" w:tentative="0">
      <w:start w:val="4"/>
      <w:numFmt w:val="chineseCounting"/>
      <w:suff w:val="nothing"/>
      <w:lvlText w:val="%1、"/>
      <w:lvlJc w:val="left"/>
      <w:pPr>
        <w:ind w:left="641" w:firstLine="0"/>
      </w:pPr>
      <w:rPr>
        <w:rFonts w:hint="eastAsia"/>
      </w:rPr>
    </w:lvl>
  </w:abstractNum>
  <w:abstractNum w:abstractNumId="4">
    <w:nsid w:val="C0368850"/>
    <w:multiLevelType w:val="singleLevel"/>
    <w:tmpl w:val="C0368850"/>
    <w:lvl w:ilvl="0" w:tentative="0">
      <w:start w:val="1"/>
      <w:numFmt w:val="decimal"/>
      <w:suff w:val="nothing"/>
      <w:lvlText w:val="（%1）"/>
      <w:lvlJc w:val="left"/>
    </w:lvl>
  </w:abstractNum>
  <w:abstractNum w:abstractNumId="5">
    <w:nsid w:val="D8E71EFC"/>
    <w:multiLevelType w:val="singleLevel"/>
    <w:tmpl w:val="D8E71EFC"/>
    <w:lvl w:ilvl="0" w:tentative="0">
      <w:start w:val="1"/>
      <w:numFmt w:val="decimal"/>
      <w:suff w:val="nothing"/>
      <w:lvlText w:val="（%1）"/>
      <w:lvlJc w:val="left"/>
      <w:pPr>
        <w:ind w:left="640" w:firstLine="0"/>
      </w:pPr>
    </w:lvl>
  </w:abstractNum>
  <w:abstractNum w:abstractNumId="6">
    <w:nsid w:val="25FAFCF6"/>
    <w:multiLevelType w:val="singleLevel"/>
    <w:tmpl w:val="25FAFCF6"/>
    <w:lvl w:ilvl="0" w:tentative="0">
      <w:start w:val="1"/>
      <w:numFmt w:val="chineseCounting"/>
      <w:suff w:val="nothing"/>
      <w:lvlText w:val="（%1）"/>
      <w:lvlJc w:val="left"/>
      <w:pPr>
        <w:ind w:left="640" w:firstLine="0"/>
      </w:pPr>
      <w:rPr>
        <w:rFonts w:hint="eastAsia"/>
      </w:rPr>
    </w:lvl>
  </w:abstractNum>
  <w:abstractNum w:abstractNumId="7">
    <w:nsid w:val="3E1963C8"/>
    <w:multiLevelType w:val="singleLevel"/>
    <w:tmpl w:val="3E1963C8"/>
    <w:lvl w:ilvl="0" w:tentative="0">
      <w:start w:val="1"/>
      <w:numFmt w:val="decimal"/>
      <w:suff w:val="nothing"/>
      <w:lvlText w:val="%1、"/>
      <w:lvlJc w:val="left"/>
      <w:pPr>
        <w:ind w:left="640" w:firstLine="0"/>
      </w:pPr>
    </w:lvl>
  </w:abstractNum>
  <w:abstractNum w:abstractNumId="8">
    <w:nsid w:val="5E65C660"/>
    <w:multiLevelType w:val="singleLevel"/>
    <w:tmpl w:val="5E65C660"/>
    <w:lvl w:ilvl="0" w:tentative="0">
      <w:start w:val="1"/>
      <w:numFmt w:val="decimal"/>
      <w:suff w:val="nothing"/>
      <w:lvlText w:val="%1、"/>
      <w:lvlJc w:val="left"/>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N2FjNzZlYWRjYjkyOGZmNzFmNDBiNjQ5YTYyOWQifQ=="/>
  </w:docVars>
  <w:rsids>
    <w:rsidRoot w:val="58C81A0C"/>
    <w:rsid w:val="01B4122B"/>
    <w:rsid w:val="086A1467"/>
    <w:rsid w:val="090F2D06"/>
    <w:rsid w:val="09ED2377"/>
    <w:rsid w:val="1BB35BA0"/>
    <w:rsid w:val="1CCB76FD"/>
    <w:rsid w:val="24473BF7"/>
    <w:rsid w:val="24E44142"/>
    <w:rsid w:val="27C24B1C"/>
    <w:rsid w:val="27F56716"/>
    <w:rsid w:val="2CEA709A"/>
    <w:rsid w:val="32A0771A"/>
    <w:rsid w:val="33C30645"/>
    <w:rsid w:val="39CC1386"/>
    <w:rsid w:val="3B6A03CC"/>
    <w:rsid w:val="3FD8070E"/>
    <w:rsid w:val="43393EC9"/>
    <w:rsid w:val="514D47AF"/>
    <w:rsid w:val="58836B83"/>
    <w:rsid w:val="58C81A0C"/>
    <w:rsid w:val="5DB974C1"/>
    <w:rsid w:val="5EF83447"/>
    <w:rsid w:val="5FB7255D"/>
    <w:rsid w:val="691F7A52"/>
    <w:rsid w:val="6BB66561"/>
    <w:rsid w:val="720F706C"/>
    <w:rsid w:val="7A6B5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rPr>
  </w:style>
  <w:style w:type="character" w:customStyle="1" w:styleId="5">
    <w:name w:val="NormalCharacter"/>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4204</Words>
  <Characters>4600</Characters>
  <Lines>0</Lines>
  <Paragraphs>0</Paragraphs>
  <TotalTime>0</TotalTime>
  <ScaleCrop>false</ScaleCrop>
  <LinksUpToDate>false</LinksUpToDate>
  <CharactersWithSpaces>4706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2022-02-28T01:59:00Z</dcterms:created>
  <dc:creator>Administrator</dc:creator>
  <cp:lastModifiedBy>Administrator</cp:lastModifiedBy>
  <dcterms:modified xsi:type="dcterms:W3CDTF">2023-03-27T00:59:47Z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4C6772E5E78A4A1EB971321AF4D7EFEB</vt:lpwstr>
  </property>
</Properties>
</file>