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项目名称：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2019、2020年度首次入轨企业奖励资金；2018首次入规并连续两年在规企业奖励资金；股改资金；省“专精特新"企业奖补资金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项目单位：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曲沃县中小企业服务中心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主管部门：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曲沃县中小企业服务中心-201002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ascii="仿宋_GB2312" w:hAnsi="Times New Roman" w:cs="Times New Roman"/>
          <w:kern w:val="0"/>
          <w:sz w:val="32"/>
          <w:szCs w:val="32"/>
        </w:rPr>
        <w:t>2022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年</w:t>
      </w:r>
      <w:r>
        <w:rPr>
          <w:rFonts w:ascii="仿宋_GB2312" w:hAnsi="Times New Roman" w:cs="Times New Roman"/>
          <w:kern w:val="0"/>
          <w:sz w:val="32"/>
          <w:szCs w:val="32"/>
        </w:rPr>
        <w:t>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月</w:t>
      </w:r>
    </w:p>
    <w:p>
      <w:pPr>
        <w:pStyle w:val="18"/>
        <w:tabs>
          <w:tab w:val="right" w:leader="dot" w:pos="8296"/>
        </w:tabs>
        <w:ind w:firstLine="440" w:firstLineChars="137"/>
      </w:pPr>
      <w:r>
        <w:rPr>
          <w:rFonts w:ascii="仿宋_GB2312" w:hAnsi="Times New Roman" w:cs="Times New Roman"/>
          <w:kern w:val="0"/>
          <w:sz w:val="32"/>
          <w:szCs w:val="32"/>
        </w:rPr>
        <w:br w:type="page"/>
      </w:r>
      <w:r>
        <w:rPr>
          <w:rFonts w:hint="eastAsia" w:ascii="仿宋_GB2312" w:hAnsi="Times New Roman" w:cs="Times New Roman"/>
          <w:kern w:val="0"/>
          <w:sz w:val="32"/>
          <w:szCs w:val="32"/>
          <w:lang w:val="en-US" w:eastAsia="zh-CN"/>
        </w:rPr>
        <w:t xml:space="preserve">                  目录</w:t>
      </w: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一、项目的基本情况</w:t>
      </w:r>
      <w:r>
        <w:tab/>
      </w:r>
      <w:r>
        <w:fldChar w:fldCharType="begin"/>
      </w:r>
      <w:r>
        <w:instrText xml:space="preserve"> PAGEREF _Toc61505636 \h </w:instrText>
      </w:r>
      <w:r>
        <w:fldChar w:fldCharType="separate"/>
      </w:r>
      <w:r>
        <w:t>1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（一）项目概况</w:t>
      </w:r>
      <w:r>
        <w:tab/>
      </w:r>
      <w:r>
        <w:fldChar w:fldCharType="begin"/>
      </w:r>
      <w:r>
        <w:instrText xml:space="preserve"> PAGEREF _Toc61505637 \h </w:instrText>
      </w:r>
      <w:r>
        <w:fldChar w:fldCharType="separate"/>
      </w:r>
      <w:r>
        <w:t>1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（二）预算执行情况</w:t>
      </w:r>
      <w:r>
        <w:tab/>
      </w:r>
      <w:r>
        <w:fldChar w:fldCharType="begin"/>
      </w:r>
      <w:r>
        <w:instrText xml:space="preserve"> PAGEREF _Toc61505638 \h </w:instrText>
      </w:r>
      <w:r>
        <w:fldChar w:fldCharType="separate"/>
      </w:r>
      <w:r>
        <w:t>2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（三）项目绩效目标</w:t>
      </w:r>
      <w:r>
        <w:tab/>
      </w:r>
      <w:r>
        <w:fldChar w:fldCharType="begin"/>
      </w:r>
      <w:r>
        <w:instrText xml:space="preserve"> PAGEREF _Toc61505639 \h </w:instrText>
      </w:r>
      <w:r>
        <w:fldChar w:fldCharType="separate"/>
      </w:r>
      <w:r>
        <w:t>2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（四）项目实施计划</w:t>
      </w:r>
      <w:r>
        <w:tab/>
      </w:r>
      <w:r>
        <w:fldChar w:fldCharType="begin"/>
      </w:r>
      <w:r>
        <w:instrText xml:space="preserve"> PAGEREF _Toc61505640 \h </w:instrText>
      </w:r>
      <w:r>
        <w:fldChar w:fldCharType="separate"/>
      </w:r>
      <w:r>
        <w:rPr>
          <w:b/>
        </w:rPr>
        <w:t>错误！未定义书签。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二、项目绩效情况</w:t>
      </w:r>
      <w:r>
        <w:tab/>
      </w:r>
      <w:r>
        <w:fldChar w:fldCharType="begin"/>
      </w:r>
      <w:r>
        <w:instrText xml:space="preserve"> PAGEREF _Toc61505641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（一）预算执行情况</w:t>
      </w:r>
      <w:r>
        <w:tab/>
      </w:r>
      <w:r>
        <w:fldChar w:fldCharType="begin"/>
      </w:r>
      <w:r>
        <w:instrText xml:space="preserve"> PAGEREF _Toc61505642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（二）项目产出情况</w:t>
      </w:r>
      <w:r>
        <w:tab/>
      </w:r>
      <w:r>
        <w:fldChar w:fldCharType="begin"/>
      </w:r>
      <w:r>
        <w:instrText xml:space="preserve"> PAGEREF _Toc61505643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（三）项目效益情况</w:t>
      </w:r>
      <w:r>
        <w:tab/>
      </w:r>
      <w:r>
        <w:fldChar w:fldCharType="begin"/>
      </w:r>
      <w:r>
        <w:instrText xml:space="preserve"> PAGEREF _Toc61505644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（四）项目满意度情况</w:t>
      </w:r>
      <w:r>
        <w:tab/>
      </w:r>
      <w:r>
        <w:fldChar w:fldCharType="begin"/>
      </w:r>
      <w:r>
        <w:instrText xml:space="preserve"> PAGEREF _Toc61505645 \h </w:instrText>
      </w:r>
      <w:r>
        <w:fldChar w:fldCharType="separate"/>
      </w:r>
      <w:r>
        <w:t>6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三、项目绩效分析</w:t>
      </w:r>
      <w:r>
        <w:tab/>
      </w:r>
      <w:r>
        <w:fldChar w:fldCharType="begin"/>
      </w:r>
      <w:r>
        <w:instrText xml:space="preserve"> PAGEREF _Toc61505646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四、项目主要经验做法</w:t>
      </w:r>
      <w:r>
        <w:tab/>
      </w:r>
      <w:r>
        <w:fldChar w:fldCharType="begin"/>
      </w:r>
      <w:r>
        <w:instrText xml:space="preserve"> PAGEREF _Toc61505647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五、项目管理中存在问题及原因分析</w:t>
      </w:r>
      <w:r>
        <w:tab/>
      </w:r>
      <w:r>
        <w:fldChar w:fldCharType="begin"/>
      </w:r>
      <w:r>
        <w:instrText xml:space="preserve"> PAGEREF _Toc61505648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六、进一步加强项目管理措施及建议</w:t>
      </w:r>
      <w:r>
        <w:tab/>
      </w:r>
      <w:r>
        <w:fldChar w:fldCharType="begin"/>
      </w:r>
      <w:r>
        <w:instrText xml:space="preserve"> PAGEREF _Toc61505649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1.</w:t>
      </w:r>
      <w:r>
        <w:rPr>
          <w:rFonts w:hint="eastAsia" w:ascii="仿宋" w:hAnsi="仿宋" w:eastAsia="仿宋" w:cs="仿宋"/>
          <w:bCs w:val="0"/>
        </w:rPr>
        <w:t>项目支出绩效自评表</w:t>
      </w:r>
      <w:r>
        <w:tab/>
      </w:r>
      <w:r>
        <w:fldChar w:fldCharType="begin"/>
      </w:r>
      <w:r>
        <w:instrText xml:space="preserve"> PAGEREF _Toc61505650 \h </w:instrText>
      </w:r>
      <w:r>
        <w:fldChar w:fldCharType="separate"/>
      </w:r>
      <w:r>
        <w:t>1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2.</w:t>
      </w:r>
      <w:r>
        <w:rPr>
          <w:rFonts w:hint="eastAsia" w:ascii="仿宋" w:hAnsi="仿宋" w:eastAsia="仿宋" w:cs="仿宋"/>
          <w:bCs w:val="0"/>
        </w:rPr>
        <w:t>绩效自评相关资料</w:t>
      </w:r>
      <w:r>
        <w:tab/>
      </w:r>
      <w:r>
        <w:fldChar w:fldCharType="begin"/>
      </w:r>
      <w:r>
        <w:instrText xml:space="preserve"> PAGEREF _Toc61505651 \h </w:instrText>
      </w:r>
      <w:r>
        <w:fldChar w:fldCharType="separate"/>
      </w:r>
      <w:r>
        <w:t>2</w:t>
      </w:r>
      <w: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</w:rPr>
        <w:t>一、项目的基本情况</w:t>
      </w:r>
      <w:bookmarkEnd w:id="0"/>
    </w:p>
    <w:p>
      <w:pPr>
        <w:pStyle w:val="46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</w:pPr>
      <w:r>
        <w:rPr>
          <w:rFonts w:hint="eastAsia"/>
          <w:b/>
          <w:bCs/>
        </w:rPr>
        <w:t>项目概况：</w:t>
      </w:r>
      <w:r>
        <w:t>”小升规“2018年、2019年度临汾市首次入规工业企业奖励资金；2018年首次入规并连续两年在规企业奖励资金；2019年度中小微企业规范化股份制改造奖补资金；2020年度省级”专精特新“企业奖补资金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立项依据：</w:t>
      </w:r>
      <w:r>
        <w:t>曲财建【2021】10号《关于下达中小企业发展省级专项资金的通知》</w:t>
      </w:r>
    </w:p>
    <w:p>
      <w:pPr>
        <w:pStyle w:val="44"/>
        <w:ind w:left="280" w:firstLine="562"/>
        <w:rPr>
          <w:rFonts w:hint="eastAsia"/>
          <w:lang w:val="en-US" w:eastAsia="zh-CN"/>
        </w:rPr>
      </w:pPr>
      <w:r>
        <w:rPr>
          <w:rFonts w:hint="eastAsia"/>
          <w:b/>
          <w:bCs/>
        </w:rPr>
        <w:t>设立的必要性：</w:t>
      </w:r>
      <w:r>
        <w:rPr>
          <w:rFonts w:hint="eastAsia"/>
          <w:lang w:eastAsia="zh-CN"/>
        </w:rPr>
        <w:t>为我县培育一批发展战略专业化、管理及生产精细化、产品或服务特色化、技术或经营模式新颖化的中小企业；促进小微企业上轨升级，不断为经济增长提供强大动力。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保证项目实施的措施与制度：</w:t>
      </w:r>
      <w:r>
        <w:t>一是严格申报程序，根据省市资金管理办法拨付；二是严格资金管理，奖励资金要用于扩大再生产；三是严格申报手续。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项目实施计划：</w:t>
      </w:r>
      <w:r>
        <w:t>1、项目单位提出申请2、我单位对项目单位资格、条件进行审核。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141.68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141.68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141.68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141.68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141.68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141.68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141.68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141.68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141.68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项目实施期绩效目标</w:t>
      </w:r>
    </w:p>
    <w:p>
      <w:pPr>
        <w:pStyle w:val="44"/>
        <w:ind w:left="280" w:firstLine="560"/>
      </w:pPr>
      <w:r>
        <w:t>支持小微企业发展，充分发挥资金的导向作用</w:t>
      </w:r>
    </w:p>
    <w:p>
      <w:pPr>
        <w:pStyle w:val="44"/>
        <w:ind w:left="280" w:firstLine="560"/>
      </w:pPr>
      <w:r>
        <w:tab/>
      </w:r>
    </w:p>
    <w:p>
      <w:pPr>
        <w:pStyle w:val="48"/>
        <w:ind w:left="56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项目年度目标</w:t>
      </w:r>
    </w:p>
    <w:p>
      <w:pPr>
        <w:pStyle w:val="44"/>
        <w:ind w:left="280" w:firstLine="560"/>
      </w:pPr>
      <w:r>
        <w:t>确保资金及时、足额下达到企业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</w:rPr>
        <w:t>二、项目绩效情况</w:t>
      </w:r>
      <w:bookmarkEnd w:id="4"/>
    </w:p>
    <w:p>
      <w:pPr>
        <w:pStyle w:val="44"/>
        <w:ind w:left="140" w:leftChars="5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2019、2020年度首次入轨企业奖励资金；2018首次入规并连续两年在规企业奖励资金；股改资金；省“专精特新"企业奖补资金</w:t>
      </w:r>
      <w:r>
        <w:rPr>
          <w:rFonts w:hint="eastAsia"/>
        </w:rPr>
        <w:t>项目绩效自评价结果为</w:t>
      </w:r>
      <w:r>
        <w:t>:</w:t>
      </w:r>
      <w:r>
        <w:rPr>
          <w:rFonts w:hint="eastAsia"/>
        </w:rPr>
        <w:t>总得分</w:t>
      </w:r>
      <w:r>
        <w:t>99.72</w:t>
      </w:r>
      <w:r>
        <w:rPr>
          <w:rFonts w:hint="eastAsia"/>
        </w:rPr>
        <w:t>分，属于</w:t>
      </w:r>
      <w:r>
        <w:t>"优秀"</w:t>
      </w:r>
      <w:r>
        <w:rPr>
          <w:rFonts w:hint="eastAsia"/>
        </w:rPr>
        <w:t>。</w:t>
      </w:r>
    </w:p>
    <w:p>
      <w:pPr>
        <w:pStyle w:val="46"/>
        <w:ind w:left="560"/>
      </w:pPr>
      <w:bookmarkStart w:id="5" w:name="_Toc61505642"/>
      <w:r>
        <w:rPr>
          <w:rFonts w:hint="eastAsia"/>
        </w:rPr>
        <w:t>（一）预算执行情况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（二）项目产出情况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奖励企业数量（个）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14个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企业资质审核达标率（%）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截止2021年9月底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2个月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资金奖励金额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141.68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141.68万元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（三）项目效益情况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增加收益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500万元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解决劳动力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800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780人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上交税金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1000万元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16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项目实施和预算执行情况及分析</w:t>
      </w:r>
    </w:p>
    <w:p>
      <w:pPr>
        <w:pStyle w:val="44"/>
        <w:ind w:firstLine="1400" w:firstLineChars="500"/>
        <w:rPr>
          <w:rFonts w:hint="eastAsia" w:ascii="仿宋_GB2312" w:eastAsia="仿宋_GB2312"/>
          <w:bCs/>
          <w:lang w:eastAsia="zh-CN"/>
        </w:rPr>
      </w:pPr>
      <w:r>
        <w:rPr>
          <w:rFonts w:hint="eastAsia" w:ascii="仿宋_GB2312"/>
          <w:bCs/>
          <w:lang w:eastAsia="zh-CN"/>
        </w:rPr>
        <w:t>项目资金按时到位，用途明确，对鼓励全县中小企业发展起到了促进作用。</w:t>
      </w:r>
    </w:p>
    <w:p>
      <w:pPr>
        <w:pStyle w:val="44"/>
        <w:ind w:left="700" w:leftChars="250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产出情况及分析</w:t>
      </w:r>
    </w:p>
    <w:p>
      <w:pPr>
        <w:pStyle w:val="44"/>
        <w:ind w:left="638" w:leftChars="228" w:firstLine="640" w:firstLineChars="200"/>
        <w:rPr>
          <w:rFonts w:hint="eastAsia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sz w:val="32"/>
          <w:szCs w:val="32"/>
        </w:rPr>
        <w:t>经过一年的培育，申报并成功培育“小升规”企业数量达标。“</w:t>
      </w:r>
      <w:r>
        <w:rPr>
          <w:rFonts w:hint="eastAsia" w:ascii="仿宋_GB2312"/>
          <w:bCs/>
          <w:sz w:val="32"/>
          <w:szCs w:val="32"/>
          <w:lang w:eastAsia="zh-CN"/>
        </w:rPr>
        <w:t>专精特新</w:t>
      </w:r>
      <w:r>
        <w:rPr>
          <w:rFonts w:hint="default" w:ascii="仿宋_GB2312"/>
          <w:bCs/>
          <w:sz w:val="32"/>
          <w:szCs w:val="32"/>
          <w:lang w:val="en-US" w:eastAsia="zh-CN"/>
        </w:rPr>
        <w:t>”</w:t>
      </w:r>
      <w:r>
        <w:rPr>
          <w:rFonts w:hint="eastAsia" w:ascii="仿宋_GB2312"/>
          <w:bCs/>
          <w:sz w:val="32"/>
          <w:szCs w:val="32"/>
          <w:lang w:val="en-US" w:eastAsia="zh-CN"/>
        </w:rPr>
        <w:t>及“股改”企业也提高了高质量发展的信心。</w:t>
      </w:r>
    </w:p>
    <w:p>
      <w:pPr>
        <w:pStyle w:val="44"/>
        <w:ind w:left="1134" w:leftChars="405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效益情况及分析</w:t>
      </w:r>
    </w:p>
    <w:p>
      <w:pPr>
        <w:pStyle w:val="44"/>
        <w:ind w:left="638" w:leftChars="228" w:firstLine="640" w:firstLineChars="200"/>
        <w:rPr>
          <w:rFonts w:ascii="仿宋_GB2312"/>
          <w:bCs/>
        </w:rPr>
      </w:pPr>
      <w:r>
        <w:rPr>
          <w:rFonts w:hint="eastAsia" w:ascii="仿宋_GB2312"/>
          <w:bCs/>
          <w:sz w:val="32"/>
          <w:szCs w:val="32"/>
        </w:rPr>
        <w:t>项目资金的使用，提振了企业高质量发展信心，同时也感受到国家、省、市、县支持中小企业发展的红利政策，改善了企业经营管理、提高发展质量、增强市场竞争力、实现创新发展等方面。</w:t>
      </w:r>
    </w:p>
    <w:p>
      <w:pPr>
        <w:pStyle w:val="44"/>
        <w:ind w:left="1134" w:leftChars="405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满意度情况及分析</w:t>
      </w:r>
    </w:p>
    <w:p>
      <w:pPr>
        <w:pStyle w:val="44"/>
        <w:ind w:firstLine="1280" w:firstLineChars="400"/>
        <w:rPr>
          <w:rFonts w:ascii="仿宋_GB2312"/>
          <w:bCs/>
        </w:rPr>
      </w:pPr>
      <w:r>
        <w:rPr>
          <w:rFonts w:hint="eastAsia" w:ascii="仿宋_GB2312"/>
          <w:bCs/>
          <w:sz w:val="32"/>
          <w:szCs w:val="32"/>
        </w:rPr>
        <w:t>项目涉及企业满意率明显上升，项目企业满意率</w:t>
      </w:r>
      <w:r>
        <w:rPr>
          <w:rFonts w:hint="eastAsia" w:ascii="仿宋_GB2312"/>
          <w:bCs/>
          <w:sz w:val="32"/>
          <w:szCs w:val="32"/>
          <w:lang w:eastAsia="zh-CN"/>
        </w:rPr>
        <w:t>高于</w:t>
      </w:r>
      <w:r>
        <w:rPr>
          <w:rFonts w:hint="eastAsia" w:ascii="仿宋_GB2312"/>
          <w:bCs/>
          <w:sz w:val="32"/>
          <w:szCs w:val="32"/>
        </w:rPr>
        <w:t>95%。</w:t>
      </w:r>
    </w:p>
    <w:p>
      <w:pPr>
        <w:pStyle w:val="52"/>
        <w:numPr>
          <w:ilvl w:val="0"/>
          <w:numId w:val="2"/>
        </w:numPr>
      </w:pPr>
      <w:bookmarkStart w:id="12" w:name="_Toc61505647"/>
      <w:r>
        <w:rPr>
          <w:rFonts w:hint="eastAsia" w:ascii="仿宋" w:hAnsi="仿宋" w:eastAsia="仿宋" w:cs="仿宋"/>
          <w:b/>
          <w:bCs w:val="0"/>
        </w:rPr>
        <w:t>项目主要经验做法</w:t>
      </w:r>
      <w:bookmarkEnd w:id="12"/>
      <w:r>
        <w:t xml:space="preserve"> </w:t>
      </w:r>
    </w:p>
    <w:p>
      <w:pPr>
        <w:pStyle w:val="52"/>
        <w:ind w:firstLine="640" w:firstLineChars="200"/>
        <w:rPr>
          <w:rFonts w:ascii="仿宋_GB2312" w:hAnsi="仿宋_GB2312" w:eastAsia="仿宋_GB2312" w:cs="仿宋_GB2312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 w:val="0"/>
          <w:color w:val="000000" w:themeColor="text1"/>
          <w14:textFill>
            <w14:solidFill>
              <w14:schemeClr w14:val="tx1"/>
            </w14:solidFill>
          </w14:textFill>
        </w:rPr>
        <w:t>宣传贯彻落实党和政府促进“小升规”企业优惠政策，对具体工作进行周密部署，掌握企业生产经营状况，跟踪服务，根据要求，严格程序，完善手续，做到专款专用，切实发挥好奖补资金促进企业高质量发展的作用。</w:t>
      </w:r>
    </w:p>
    <w:p>
      <w:pPr>
        <w:pStyle w:val="44"/>
        <w:numPr>
          <w:ilvl w:val="0"/>
          <w:numId w:val="0"/>
        </w:numPr>
        <w:ind w:firstLine="640" w:firstLineChars="200"/>
      </w:pPr>
      <w:r>
        <w:rPr>
          <w:rFonts w:hint="eastAsia" w:ascii="仿宋" w:hAnsi="仿宋" w:eastAsia="仿宋" w:cs="楷体"/>
          <w:sz w:val="32"/>
          <w:szCs w:val="32"/>
          <w:lang w:eastAsia="zh-CN"/>
        </w:rPr>
        <w:t>按照</w:t>
      </w:r>
      <w:r>
        <w:rPr>
          <w:rFonts w:hint="eastAsia" w:ascii="仿宋" w:hAnsi="仿宋" w:eastAsia="仿宋"/>
          <w:sz w:val="32"/>
          <w:lang w:val="en-US" w:eastAsia="zh-CN"/>
        </w:rPr>
        <w:t>中小微发展专项资金“专精特新”中小企业项目申报工作要求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，加强政策的宣传，对具体工作周密部署，及时掌握企业生产经营情况，跟踪服务。严格管理资金用途，做到专款专用，切实发挥好奖补资金促进企业发展的作用。</w:t>
      </w:r>
    </w:p>
    <w:p>
      <w:pPr>
        <w:pStyle w:val="44"/>
      </w:pPr>
      <w:r>
        <w:rPr>
          <w:rFonts w:hint="eastAsia" w:ascii="仿宋" w:hAnsi="仿宋" w:eastAsia="仿宋" w:cs="楷体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楷体"/>
          <w:sz w:val="32"/>
          <w:szCs w:val="32"/>
        </w:rPr>
        <w:t>高质量推进中小微企业规范化股份制改造工作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要求，加强政策的宣传，对具体工作周密部署，及时掌握企业生产经营情况，跟踪服务。严格管理资金用途，做到专款专用，切实发挥好奖补资金促进企业发展的作用。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</w:rPr>
        <w:t>五、项目管理中存在问题及原因分析</w:t>
      </w:r>
      <w:bookmarkEnd w:id="13"/>
    </w:p>
    <w:p>
      <w:pPr>
        <w:pStyle w:val="44"/>
        <w:ind w:firstLine="640"/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加大对项目管理程序的监督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</w:rPr>
        <w:t>六、进一步加强项目管理措施及建议</w:t>
      </w:r>
      <w:bookmarkEnd w:id="14"/>
    </w:p>
    <w:p>
      <w:pPr>
        <w:pStyle w:val="44"/>
        <w:ind w:firstLine="848" w:firstLineChars="303"/>
      </w:pPr>
    </w:p>
    <w:p>
      <w:pPr>
        <w:pStyle w:val="44"/>
        <w:ind w:firstLine="560"/>
        <w:sectPr>
          <w:footerReference r:id="rId9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继续加强组织领导。加强对项目工作的全面领导，便于及时发现项目运行过程中出现的问题并加以改进；二是专款专用。严格按项目规范要求，做到专款专用，确保项目工作顺利开展；三是加强监督。对日常工作加强规范和监督，防止在项目执行过程中出现偏差。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1.</w:t>
      </w:r>
      <w:r>
        <w:rPr>
          <w:rFonts w:hint="eastAsia" w:ascii="仿宋" w:hAnsi="仿宋" w:eastAsia="仿宋" w:cs="仿宋"/>
          <w:b/>
          <w:bCs w:val="0"/>
        </w:rPr>
        <w:t>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</w:t>
            </w:r>
            <w:r>
              <w:rPr>
                <w:rFonts w:ascii="仿宋" w:hAnsi="仿宋" w:eastAsia="仿宋" w:cs="仿宋"/>
                <w:b/>
              </w:rPr>
              <w:t>1.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奖励企业数量（个）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14个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企业资质审核达标率（%）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截止2021年9月底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2个月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资金奖励金额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141.68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141.68万元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增加收益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500万元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解决劳动力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780人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97.50%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10.97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未达到预期值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上交税金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1000万元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0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2.</w:t>
      </w:r>
      <w:r>
        <w:rPr>
          <w:rFonts w:hint="eastAsia" w:ascii="仿宋" w:hAnsi="仿宋" w:eastAsia="仿宋" w:cs="仿宋"/>
          <w:b/>
          <w:bCs w:val="0"/>
        </w:rPr>
        <w:t>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  <w:bookmarkStart w:id="17" w:name="_GoBack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abstractNum w:abstractNumId="1">
    <w:nsid w:val="F60C7488"/>
    <w:multiLevelType w:val="singleLevel"/>
    <w:tmpl w:val="F60C748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A2B0D"/>
    <w:rsid w:val="000C6D57"/>
    <w:rsid w:val="000E044C"/>
    <w:rsid w:val="001028E5"/>
    <w:rsid w:val="001507B7"/>
    <w:rsid w:val="00156586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1511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0487"/>
    <w:rsid w:val="003E1BB0"/>
    <w:rsid w:val="003E7B75"/>
    <w:rsid w:val="00400D3F"/>
    <w:rsid w:val="00401866"/>
    <w:rsid w:val="00401D6B"/>
    <w:rsid w:val="00405A2B"/>
    <w:rsid w:val="004133EA"/>
    <w:rsid w:val="0042269C"/>
    <w:rsid w:val="00441BCE"/>
    <w:rsid w:val="00452CC6"/>
    <w:rsid w:val="004550E0"/>
    <w:rsid w:val="004551B8"/>
    <w:rsid w:val="00455292"/>
    <w:rsid w:val="00480C40"/>
    <w:rsid w:val="00492C52"/>
    <w:rsid w:val="004979FF"/>
    <w:rsid w:val="004B227E"/>
    <w:rsid w:val="004C6F6A"/>
    <w:rsid w:val="004E0FDB"/>
    <w:rsid w:val="00542BD3"/>
    <w:rsid w:val="00543E44"/>
    <w:rsid w:val="00576C00"/>
    <w:rsid w:val="00593D5E"/>
    <w:rsid w:val="005A080E"/>
    <w:rsid w:val="005A3D0F"/>
    <w:rsid w:val="005B1DE6"/>
    <w:rsid w:val="005B7922"/>
    <w:rsid w:val="005E4265"/>
    <w:rsid w:val="005E7218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A0274"/>
    <w:rsid w:val="007B18A7"/>
    <w:rsid w:val="007B29FC"/>
    <w:rsid w:val="007F5D03"/>
    <w:rsid w:val="00805ED9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B0F1D"/>
    <w:rsid w:val="00AC2951"/>
    <w:rsid w:val="00AD64A8"/>
    <w:rsid w:val="00B0412B"/>
    <w:rsid w:val="00B21080"/>
    <w:rsid w:val="00B31ECA"/>
    <w:rsid w:val="00B43815"/>
    <w:rsid w:val="00B52EBA"/>
    <w:rsid w:val="00B535AB"/>
    <w:rsid w:val="00B64666"/>
    <w:rsid w:val="00B8092D"/>
    <w:rsid w:val="00B81BE0"/>
    <w:rsid w:val="00B85A2B"/>
    <w:rsid w:val="00B9323C"/>
    <w:rsid w:val="00BC2B39"/>
    <w:rsid w:val="00BC42DD"/>
    <w:rsid w:val="00BD346F"/>
    <w:rsid w:val="00C24C26"/>
    <w:rsid w:val="00C25722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71919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14561"/>
    <w:rsid w:val="00F25650"/>
    <w:rsid w:val="00F45162"/>
    <w:rsid w:val="00F5304C"/>
    <w:rsid w:val="00F870C6"/>
    <w:rsid w:val="00F92B58"/>
    <w:rsid w:val="00F96480"/>
    <w:rsid w:val="00FD0AF5"/>
    <w:rsid w:val="00FD3022"/>
    <w:rsid w:val="00FD64C8"/>
    <w:rsid w:val="00FE4A15"/>
    <w:rsid w:val="00FF6DAB"/>
    <w:rsid w:val="05316DC2"/>
    <w:rsid w:val="168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9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0"/>
    <w:qFormat/>
    <w:uiPriority w:val="99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31"/>
    <w:qFormat/>
    <w:uiPriority w:val="9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</w:rPr>
  </w:style>
  <w:style w:type="paragraph" w:styleId="8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</w:rPr>
  </w:style>
  <w:style w:type="character" w:default="1" w:styleId="26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qFormat/>
    <w:uiPriority w:val="99"/>
    <w:pPr>
      <w:ind w:firstLine="420"/>
    </w:pPr>
  </w:style>
  <w:style w:type="paragraph" w:styleId="4">
    <w:name w:val="Body Text Indent"/>
    <w:basedOn w:val="1"/>
    <w:link w:val="35"/>
    <w:semiHidden/>
    <w:uiPriority w:val="99"/>
    <w:pPr>
      <w:spacing w:after="120"/>
      <w:ind w:left="420" w:leftChars="200"/>
    </w:pPr>
    <w:rPr>
      <w:rFonts w:cs="Times New Roman"/>
      <w:kern w:val="0"/>
      <w:szCs w:val="20"/>
    </w:rPr>
  </w:style>
  <w:style w:type="paragraph" w:styleId="6">
    <w:name w:val="No Spacing"/>
    <w:link w:val="43"/>
    <w:qFormat/>
    <w:uiPriority w:val="99"/>
    <w:pPr>
      <w:widowControl w:val="0"/>
      <w:ind w:firstLine="600" w:firstLineChars="200"/>
      <w:jc w:val="both"/>
    </w:pPr>
    <w:rPr>
      <w:rFonts w:ascii="Calibri" w:hAnsi="Calibri" w:eastAsia="仿宋_GB2312" w:cs="Times New Roman"/>
      <w:kern w:val="0"/>
      <w:sz w:val="28"/>
      <w:szCs w:val="22"/>
      <w:lang w:val="en-US" w:eastAsia="zh-CN" w:bidi="ar-SA"/>
    </w:rPr>
  </w:style>
  <w:style w:type="paragraph" w:styleId="9">
    <w:name w:val="toc 7"/>
    <w:basedOn w:val="1"/>
    <w:next w:val="1"/>
    <w:uiPriority w:val="9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qFormat/>
    <w:uiPriority w:val="99"/>
    <w:rPr>
      <w:rFonts w:ascii="宋体" w:eastAsia="宋体" w:cs="Times New Roman"/>
      <w:kern w:val="0"/>
      <w:sz w:val="18"/>
      <w:szCs w:val="18"/>
    </w:rPr>
  </w:style>
  <w:style w:type="paragraph" w:styleId="11">
    <w:name w:val="annotation text"/>
    <w:basedOn w:val="1"/>
    <w:link w:val="40"/>
    <w:semiHidden/>
    <w:qFormat/>
    <w:uiPriority w:val="99"/>
    <w:rPr>
      <w:rFonts w:cs="Times New Roman"/>
      <w:kern w:val="0"/>
      <w:sz w:val="20"/>
      <w:szCs w:val="20"/>
    </w:rPr>
  </w:style>
  <w:style w:type="paragraph" w:styleId="12">
    <w:name w:val="toc 5"/>
    <w:basedOn w:val="1"/>
    <w:next w:val="1"/>
    <w:qFormat/>
    <w:uiPriority w:val="9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qFormat/>
    <w:uiPriority w:val="9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qFormat/>
    <w:uiPriority w:val="9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qFormat/>
    <w:uiPriority w:val="99"/>
    <w:rPr>
      <w:rFonts w:cs="Times New Roman"/>
      <w:kern w:val="0"/>
      <w:sz w:val="18"/>
      <w:szCs w:val="18"/>
    </w:rPr>
  </w:style>
  <w:style w:type="paragraph" w:styleId="16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9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qFormat/>
    <w:uiPriority w:val="9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qFormat/>
    <w:uiPriority w:val="9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qFormat/>
    <w:uiPriority w:val="9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qFormat/>
    <w:uiPriority w:val="9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qFormat/>
    <w:uiPriority w:val="99"/>
    <w:rPr>
      <w:b/>
      <w:bCs/>
    </w:rPr>
  </w:style>
  <w:style w:type="table" w:styleId="25">
    <w:name w:val="Table Grid"/>
    <w:basedOn w:val="24"/>
    <w:qFormat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qFormat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6"/>
    <w:semiHidden/>
    <w:qFormat/>
    <w:uiPriority w:val="99"/>
    <w:rPr>
      <w:rFonts w:cs="Times New Roman"/>
      <w:sz w:val="16"/>
    </w:rPr>
  </w:style>
  <w:style w:type="character" w:customStyle="1" w:styleId="29">
    <w:name w:val="Heading 1 Char"/>
    <w:basedOn w:val="26"/>
    <w:link w:val="2"/>
    <w:qFormat/>
    <w:locked/>
    <w:uiPriority w:val="9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6"/>
    <w:link w:val="5"/>
    <w:qFormat/>
    <w:locked/>
    <w:uiPriority w:val="99"/>
    <w:rPr>
      <w:rFonts w:ascii="Cambria" w:hAnsi="Cambria" w:eastAsia="仿宋_GB2312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6"/>
    <w:link w:val="7"/>
    <w:qFormat/>
    <w:locked/>
    <w:uiPriority w:val="99"/>
    <w:rPr>
      <w:rFonts w:ascii="Calibri" w:hAnsi="Calibri" w:eastAsia="仿宋_GB2312" w:cs="Times New Roman"/>
      <w:bCs/>
      <w:kern w:val="0"/>
      <w:sz w:val="32"/>
      <w:szCs w:val="32"/>
    </w:rPr>
  </w:style>
  <w:style w:type="character" w:customStyle="1" w:styleId="32">
    <w:name w:val="Heading 4 Char"/>
    <w:basedOn w:val="26"/>
    <w:link w:val="8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er Char"/>
    <w:basedOn w:val="26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Body Text Indent Char"/>
    <w:basedOn w:val="26"/>
    <w:link w:val="4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36">
    <w:name w:val="Body Text First Indent 2 Char"/>
    <w:basedOn w:val="35"/>
    <w:link w:val="3"/>
    <w:qFormat/>
    <w:locked/>
    <w:uiPriority w:val="99"/>
  </w:style>
  <w:style w:type="character" w:customStyle="1" w:styleId="37">
    <w:name w:val="Intense Reference"/>
    <w:basedOn w:val="26"/>
    <w:qFormat/>
    <w:uiPriority w:val="99"/>
    <w:rPr>
      <w:b/>
      <w:smallCaps/>
      <w:color w:val="C0504D"/>
      <w:spacing w:val="5"/>
      <w:u w:val="single"/>
    </w:rPr>
  </w:style>
  <w:style w:type="character" w:customStyle="1" w:styleId="38">
    <w:name w:val="Balloon Text Char"/>
    <w:basedOn w:val="26"/>
    <w:link w:val="15"/>
    <w:semiHidden/>
    <w:qFormat/>
    <w:locked/>
    <w:uiPriority w:val="99"/>
    <w:rPr>
      <w:rFonts w:ascii="Calibri" w:hAnsi="Calibri" w:eastAsia="仿宋_GB2312" w:cs="Times New Roman"/>
      <w:kern w:val="0"/>
      <w:sz w:val="18"/>
      <w:szCs w:val="18"/>
    </w:rPr>
  </w:style>
  <w:style w:type="paragraph" w:styleId="39">
    <w:name w:val="List Paragraph"/>
    <w:basedOn w:val="1"/>
    <w:qFormat/>
    <w:uiPriority w:val="99"/>
    <w:pPr>
      <w:ind w:firstLine="420"/>
    </w:pPr>
  </w:style>
  <w:style w:type="character" w:customStyle="1" w:styleId="40">
    <w:name w:val="Comment Text Char"/>
    <w:basedOn w:val="26"/>
    <w:link w:val="11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41">
    <w:name w:val="Comment Subject Char"/>
    <w:basedOn w:val="40"/>
    <w:link w:val="23"/>
    <w:semiHidden/>
    <w:qFormat/>
    <w:locked/>
    <w:uiPriority w:val="99"/>
    <w:rPr>
      <w:b/>
      <w:bCs/>
    </w:rPr>
  </w:style>
  <w:style w:type="character" w:customStyle="1" w:styleId="42">
    <w:name w:val="Document Map Char"/>
    <w:basedOn w:val="26"/>
    <w:link w:val="10"/>
    <w:semiHidden/>
    <w:locked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3">
    <w:name w:val="No Spacing Char"/>
    <w:link w:val="6"/>
    <w:locked/>
    <w:uiPriority w:val="99"/>
    <w:rPr>
      <w:rFonts w:ascii="Calibri" w:hAnsi="Calibri" w:eastAsia="仿宋_GB2312"/>
      <w:sz w:val="22"/>
    </w:rPr>
  </w:style>
  <w:style w:type="paragraph" w:customStyle="1" w:styleId="44">
    <w:name w:val="闻政-正文段落文字"/>
    <w:basedOn w:val="1"/>
    <w:link w:val="45"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character" w:customStyle="1" w:styleId="45">
    <w:name w:val="闻政-正文段落文字 Char"/>
    <w:link w:val="44"/>
    <w:locked/>
    <w:uiPriority w:val="99"/>
    <w:rPr>
      <w:rFonts w:ascii="Times New Roman" w:hAnsi="Times New Roman" w:eastAsia="仿宋_GB2312"/>
      <w:kern w:val="0"/>
      <w:sz w:val="28"/>
    </w:rPr>
  </w:style>
  <w:style w:type="paragraph" w:customStyle="1" w:styleId="46">
    <w:name w:val="闻政-正文二级标题"/>
    <w:basedOn w:val="5"/>
    <w:next w:val="44"/>
    <w:link w:val="47"/>
    <w:uiPriority w:val="99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locked/>
    <w:uiPriority w:val="99"/>
    <w:rPr>
      <w:rFonts w:ascii="Times New Roman" w:hAnsi="Times New Roman" w:eastAsia="仿宋_GB2312"/>
      <w:b/>
      <w:kern w:val="0"/>
      <w:sz w:val="32"/>
    </w:rPr>
  </w:style>
  <w:style w:type="paragraph" w:customStyle="1" w:styleId="48">
    <w:name w:val="闻政-正文三级标题"/>
    <w:basedOn w:val="1"/>
    <w:next w:val="44"/>
    <w:link w:val="49"/>
    <w:uiPriority w:val="99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kern w:val="0"/>
      <w:szCs w:val="28"/>
    </w:rPr>
  </w:style>
  <w:style w:type="character" w:customStyle="1" w:styleId="49">
    <w:name w:val="闻政-正文三级标题 Char"/>
    <w:link w:val="48"/>
    <w:locked/>
    <w:uiPriority w:val="99"/>
    <w:rPr>
      <w:rFonts w:ascii="Times New Roman" w:hAnsi="Times New Roman" w:eastAsia="仿宋_GB2312"/>
      <w:b/>
      <w:snapToGrid w:val="0"/>
      <w:kern w:val="0"/>
      <w:sz w:val="28"/>
    </w:rPr>
  </w:style>
  <w:style w:type="paragraph" w:customStyle="1" w:styleId="50">
    <w:name w:val="闻政-正文四级标题"/>
    <w:basedOn w:val="48"/>
    <w:next w:val="44"/>
    <w:link w:val="51"/>
    <w:uiPriority w:val="99"/>
    <w:rPr>
      <w:b w:val="0"/>
    </w:rPr>
  </w:style>
  <w:style w:type="character" w:customStyle="1" w:styleId="51">
    <w:name w:val="闻政-正文四级标题 Char"/>
    <w:link w:val="50"/>
    <w:locked/>
    <w:uiPriority w:val="99"/>
    <w:rPr>
      <w:rFonts w:ascii="Times New Roman" w:hAnsi="Times New Roman" w:eastAsia="仿宋_GB2312"/>
      <w:snapToGrid w:val="0"/>
      <w:kern w:val="0"/>
      <w:sz w:val="28"/>
    </w:rPr>
  </w:style>
  <w:style w:type="paragraph" w:customStyle="1" w:styleId="52">
    <w:name w:val="闻政-正文一级标题"/>
    <w:basedOn w:val="7"/>
    <w:next w:val="44"/>
    <w:link w:val="53"/>
    <w:uiPriority w:val="99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locked/>
    <w:uiPriority w:val="99"/>
    <w:rPr>
      <w:rFonts w:ascii="黑体" w:hAnsi="黑体" w:eastAsia="黑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455</Words>
  <Characters>2599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cp:lastPrinted>2022-07-28T02:45:00Z</cp:lastPrinted>
  <dcterms:modified xsi:type="dcterms:W3CDTF">2023-03-30T01:32:40Z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