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2020年度临汾市“小升规”企业奖励资金 曲财建【2021】29号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曲沃县中小企业服务中心-201002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目</w:t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录</w:t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t>4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5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11</w:t>
      </w:r>
      <w: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" 1、主营业务收入首次达到2000万元以上，并纳入统计部门联网直报的小型、微型工业企业，并且于2021年11月底前主营业务收入达到2000万元以上的企业。 2、依据全县“小升规”工业企业基础信息库培育名单，针对有活力、有潜力、2021年年底有望达到规模以上标准的小型、微型工业企业。 3、积极完成全国中小企业生产经营运行监测平台上报数据、按时上报统计报表和企业运行动态分析材料、配合完成全县安排部署的重点工作的重点监测企业。符合以上三个条件的企业市级给予奖励资金10万元。"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临财建【2021】491号《关于下达2020年度“小升规”企业奖励资金的通知》、曲财建《曲沃县财政局关于下达2020年度“小升规”企业奖励资金的通知》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设立的必要性：</w:t>
      </w:r>
      <w:r>
        <w:rPr>
          <w:rFonts w:hint="eastAsia"/>
        </w:rPr>
        <w:t>落实省、市、县鼓励中小企业升规政策，促进中小企业高质量发展。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保证项目实施的措施与制度：</w:t>
      </w:r>
      <w:r>
        <w:t>一是严格申报程序，根据省市资金管理办法拨付；二是严格资金管理，奖励资金要用于企业的扩大再生产，不得用于人员工资及购买车辆等消费性支出，确保资金按规定用途专款专用；三是严格申报手续。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1、项目单位提出申请2、中小企业服务中心对项目单位资格、条件进行审核，对项目资料进行评审和审核，对项目的真实性、合规性进行考察并确定符合条件的支持项目。3、中小企业服务中心提交项目审核报告及资金拨付申请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积极与财政部门接洽，组织获得“小升规”奖励的企业尽快做好奖励资金的申领工作，确保资金及时、足额下达到企业。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筛选一批有发展潜力的企业作为重点培育对象，建立完善重点培育企业库。加强对重点培育对象的帮扶、指导、服务，助推企业年主营业务收入达到规模以上并纳入统计部门联网直报，2022年，对11家以上重点培育企业进行帮扶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2020年度临汾市“小升规”企业奖励资金 曲财建【2021】29号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99.35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规模以上工业企业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企业达标率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资金拨付时间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资金拨付成本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上交税金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解决劳动力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150人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12.2</w:t>
            </w:r>
          </w:p>
        </w:tc>
      </w:tr>
    </w:tbl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firstLine="640"/>
        <w:rPr>
          <w:rFonts w:ascii="仿宋_GB2312"/>
          <w:bCs/>
        </w:rPr>
      </w:pPr>
      <w:r>
        <w:rPr>
          <w:rFonts w:hint="eastAsia" w:ascii="仿宋_GB2312"/>
          <w:bCs/>
          <w:sz w:val="32"/>
          <w:szCs w:val="32"/>
        </w:rPr>
        <w:t>2020年，我中心对“小升规”培育专项奖励资金做了专项预算，用于对新升规企业和连续两年在规企业的奖补，项目资金按时到位，用途明确，专款专用，资金监管及时有效，2020年项目已顺利实施，并达到了预期效果，对鼓励全县中小企业升规发展起到了促进作用。</w:t>
      </w:r>
    </w:p>
    <w:p>
      <w:pPr>
        <w:pStyle w:val="44"/>
        <w:numPr>
          <w:numId w:val="0"/>
        </w:numPr>
        <w:ind w:firstLine="562" w:firstLineChars="200"/>
        <w:rPr>
          <w:rFonts w:ascii="仿宋_GB2312"/>
          <w:b/>
        </w:rPr>
      </w:pPr>
      <w:r>
        <w:rPr>
          <w:rFonts w:hint="eastAsia" w:ascii="仿宋_GB2312"/>
          <w:b/>
          <w:lang w:val="en-US" w:eastAsia="zh-CN"/>
        </w:rPr>
        <w:t>2.</w:t>
      </w:r>
      <w:r>
        <w:rPr>
          <w:rFonts w:hint="eastAsia" w:ascii="仿宋_GB2312"/>
          <w:b/>
        </w:rPr>
        <w:t>产出情况及分析</w:t>
      </w:r>
    </w:p>
    <w:p>
      <w:pPr>
        <w:pStyle w:val="44"/>
        <w:ind w:firstLine="640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经过一年的培育，申报并成功培育“小升规”企业数量达标。</w:t>
      </w:r>
    </w:p>
    <w:p>
      <w:pPr>
        <w:pStyle w:val="44"/>
        <w:numPr>
          <w:numId w:val="0"/>
        </w:numPr>
        <w:ind w:firstLine="562" w:firstLineChars="200"/>
        <w:rPr>
          <w:rFonts w:ascii="仿宋_GB2312"/>
          <w:b/>
        </w:rPr>
      </w:pPr>
      <w:r>
        <w:rPr>
          <w:rFonts w:hint="eastAsia" w:ascii="仿宋_GB2312"/>
          <w:b/>
          <w:lang w:val="en-US" w:eastAsia="zh-CN"/>
        </w:rPr>
        <w:t>3.</w:t>
      </w:r>
      <w:r>
        <w:rPr>
          <w:rFonts w:hint="eastAsia" w:ascii="仿宋_GB2312"/>
          <w:b/>
        </w:rPr>
        <w:t>效益情况及分析</w:t>
      </w:r>
    </w:p>
    <w:p>
      <w:pPr>
        <w:pStyle w:val="44"/>
        <w:ind w:firstLine="640"/>
        <w:rPr>
          <w:rFonts w:ascii="仿宋_GB2312"/>
          <w:bCs/>
        </w:rPr>
      </w:pPr>
      <w:r>
        <w:rPr>
          <w:rFonts w:hint="eastAsia" w:ascii="仿宋_GB2312"/>
          <w:bCs/>
          <w:sz w:val="32"/>
          <w:szCs w:val="32"/>
        </w:rPr>
        <w:t>项目资金的使用，提振了企业高质量发展信心，同时也感受到国家、省、市、县支持中小企业发展的红利政策，改善了企业经营管理、提高发展质量、增强市场竞争力、实现创新发展等方面。</w:t>
      </w:r>
    </w:p>
    <w:p>
      <w:pPr>
        <w:pStyle w:val="44"/>
        <w:numPr>
          <w:numId w:val="0"/>
        </w:numPr>
        <w:ind w:firstLine="562" w:firstLineChars="200"/>
        <w:rPr>
          <w:rFonts w:ascii="仿宋_GB2312"/>
          <w:b/>
        </w:rPr>
      </w:pPr>
      <w:r>
        <w:rPr>
          <w:rFonts w:hint="eastAsia" w:ascii="仿宋_GB2312"/>
          <w:b/>
          <w:lang w:val="en-US" w:eastAsia="zh-CN"/>
        </w:rPr>
        <w:t>4.</w:t>
      </w:r>
      <w:r>
        <w:rPr>
          <w:rFonts w:hint="eastAsia" w:ascii="仿宋_GB2312"/>
          <w:b/>
        </w:rPr>
        <w:t>满意度情况及分析</w:t>
      </w:r>
    </w:p>
    <w:p>
      <w:pPr>
        <w:pStyle w:val="44"/>
        <w:ind w:firstLine="640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项目涉及企业满意率明显上升，2020年，项目企业满意率9</w:t>
      </w:r>
      <w:r>
        <w:rPr>
          <w:rFonts w:hint="eastAsia" w:ascii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/>
          <w:bCs/>
          <w:sz w:val="32"/>
          <w:szCs w:val="32"/>
        </w:rPr>
        <w:t>%。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ind w:firstLine="840" w:firstLineChars="300"/>
      </w:pPr>
      <w:r>
        <w:rPr>
          <w:rFonts w:hint="eastAsia" w:ascii="仿宋_GB2312" w:hAnsi="仿宋_GB2312" w:eastAsia="仿宋_GB2312" w:cs="仿宋_GB2312"/>
          <w:bCs w:val="0"/>
          <w:color w:val="000000" w:themeColor="text1"/>
        </w:rPr>
        <w:t>宣传贯彻落实党和政府促进“小升规”企业优惠政策，对具体工作进行周密部署，掌握企业生产经营状况，跟踪服务，根据要求，严格程序，完善手续，做到专款专用，切实发挥好奖补资金促进企业高质量发展的作用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ind w:firstLine="640"/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应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</w:rPr>
        <w:t>加大对项目管理程序的监督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848" w:firstLineChars="303"/>
      </w:pPr>
    </w:p>
    <w:p>
      <w:pPr>
        <w:pStyle w:val="44"/>
        <w:ind w:firstLine="640"/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</w:rPr>
        <w:t>一是继续加强组织领导。加强对项目工作的全面领导，便于及时发现项目运行过程中出现的问题并加以改进；二是专款专用。严格按项目规范要求，做到专款专用，确保项目工作顺利开展；三是加强监督。对日常工作加强规范和监督，防止在项目执行过程中出现偏差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。</w:t>
      </w:r>
      <w:bookmarkStart w:id="17" w:name="_GoBack"/>
      <w:bookmarkEnd w:id="17"/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预算执行全部完成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规模以上工业企业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共奖励5家企业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企业达标率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企业均已达标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资金拨付时间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按时并及时将资金拨付到位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资金拨付成本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50万元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每家各拨付5万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上交税金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2000万元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上交税金已达预期值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解决劳动力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150人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94.94%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12.2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劳动力人数未达到预期数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103.16%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企业比较满意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4DE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iPriority w:val="99"/>
    <w:pPr>
      <w:ind w:firstLine="420"/>
    </w:pPr>
  </w:style>
  <w:style w:type="paragraph" w:styleId="4">
    <w:name w:val="Body Text Indent"/>
    <w:basedOn w:val="1"/>
    <w:link w:val="35"/>
    <w:semiHidden/>
    <w:qFormat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iPriority w:val="99"/>
    <w:rPr>
      <w:b/>
      <w:bCs/>
    </w:rPr>
  </w:style>
  <w:style w:type="table" w:styleId="25">
    <w:name w:val="Table Grid"/>
    <w:basedOn w:val="24"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qFormat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qFormat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qFormat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uiPriority w:val="99"/>
    <w:rPr>
      <w:b w:val="0"/>
    </w:rPr>
  </w:style>
  <w:style w:type="character" w:customStyle="1" w:styleId="51">
    <w:name w:val="闻政-正文四级标题 Char"/>
    <w:link w:val="50"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455</Words>
  <Characters>2599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2022-04-01T08:08:04Z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