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2020年度“专精特新”中小企业奖励资金 曲财建【2021】30号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曲沃县中小企业服务中心-201002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目</w:t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录</w:t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“专精特新”中小企业项目申报工作是为了贯彻落实习总书记“要培育一批专精特新中小企业”的重要指示精神，按照省委、省政府积极引导和支持中小企业走“专精特新”之路的战略部署，根据省小企业发展促进局《关于开展2020年省级中小微企业发展专项资金“专精特新”中小企业项目申报工作的通知》（晋企发【2020】14号）的文件精神，省级财政给予每户20万元的奖励和临财建【2021】492号《关于下达2020年度“专精特新”中小企业奖励资金的通知》精神，市级奖励资金共计60万元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晋政办发【2019】87号《关于印发山西省推动创新创业高质量发展20条措施的通知》和山西省小企业发展促进局《关于开展2020年省级中小微企业发展专项资金“专精特新”中小企业项目申报工作的通知》（晋企发【2020】14号）及临财建【2021】492号《关于下达2020年度“专精特新”中小企业奖励资金的 通知》文件精神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设立的必要性：</w:t>
      </w:r>
      <w:r>
        <w:rPr>
          <w:rFonts w:hint="eastAsia"/>
          <w:b w:val="0"/>
          <w:bCs w:val="0"/>
        </w:rPr>
        <w:t>为我县培育一批发展战略专业化、管理及生产精细化、产品或服务特色化、技术或经营模式新颖化的中小企业，推进中小企业走“专精特新”发展之路。</w:t>
      </w:r>
    </w:p>
    <w:p>
      <w:pPr>
        <w:pStyle w:val="44"/>
        <w:ind w:left="280" w:firstLine="562"/>
      </w:pPr>
    </w:p>
    <w:p>
      <w:pPr>
        <w:pStyle w:val="44"/>
        <w:ind w:left="280" w:firstLine="562"/>
      </w:pPr>
      <w:r>
        <w:rPr>
          <w:rFonts w:hint="eastAsia"/>
          <w:b/>
          <w:bCs/>
        </w:rPr>
        <w:t>保证项目实施的措施与制度：</w:t>
      </w:r>
      <w:r>
        <w:t>一是严格申报程序，根据省市资金管理办法拨付；二是严格资金管理，奖励资金要确保按规定用途专款专用；三是严格申报手续。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项目实施计划：</w:t>
      </w:r>
      <w:r>
        <w:t>1、项目单位提出申请；2、对项目单位资格、条件进行审核，对项目资料进行评审和审核，对项目的真实性、合规性进行考察并确定符合条件的支持项目；3、提交项目资金拨付申请。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积极与财政部门接洽，组织获得“专精特新”奖励资金的企业尽快做好材料的申报工作，确保资金及时、足额下达到企业。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</w:pPr>
      <w:r>
        <w:t>充分发挥财政资金的导向作用，引领中小企业走“专精特新”发展之路，培育出更多的“专精特新”企业，带动和促进全县的中小企业高质量发展，奋力开拓中小企业转型发展新局面。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2020年度“专精特新”中小企业奖励资金 曲财建【2021】30号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95.72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奖励企业个数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企业达标率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资金拨付时间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奖励资金成本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60万元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增加收益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增加就业人数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8.57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服务企业满意度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rPr>
          <w:rFonts w:ascii="仿宋_GB2312"/>
          <w:bCs/>
        </w:rPr>
      </w:pPr>
      <w:r>
        <w:rPr>
          <w:rFonts w:hint="eastAsia" w:ascii="仿宋_GB2312"/>
          <w:bCs/>
          <w:lang w:eastAsia="zh-CN"/>
        </w:rPr>
        <w:t>执行奖励资金</w:t>
      </w:r>
      <w:r>
        <w:rPr>
          <w:rFonts w:hint="eastAsia" w:ascii="仿宋_GB2312"/>
          <w:bCs/>
          <w:lang w:val="en-US" w:eastAsia="zh-CN"/>
        </w:rPr>
        <w:t>60万元。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</w:p>
    <w:p>
      <w:pPr>
        <w:pStyle w:val="44"/>
        <w:ind w:left="700" w:leftChars="250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企业个数</w:t>
      </w:r>
      <w:r>
        <w:rPr>
          <w:rFonts w:hint="eastAsia" w:ascii="仿宋_GB2312"/>
          <w:bCs/>
          <w:lang w:val="en-US" w:eastAsia="zh-CN"/>
        </w:rPr>
        <w:t>3家，合格率达100%。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rPr>
          <w:rFonts w:ascii="仿宋_GB2312"/>
          <w:bCs/>
        </w:rPr>
      </w:pPr>
      <w:r>
        <w:rPr>
          <w:rFonts w:hint="eastAsia" w:ascii="仿宋_GB2312"/>
          <w:bCs/>
          <w:lang w:eastAsia="zh-CN"/>
        </w:rPr>
        <w:t>增加收益约</w:t>
      </w:r>
      <w:r>
        <w:rPr>
          <w:rFonts w:hint="eastAsia" w:ascii="仿宋_GB2312"/>
          <w:bCs/>
          <w:lang w:val="en-US" w:eastAsia="zh-CN"/>
        </w:rPr>
        <w:t>220万元，增加就业20人。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eastAsia="zh-CN"/>
        </w:rPr>
        <w:t>对相关服务企业尽职尽责，企业满意度为</w:t>
      </w:r>
      <w:r>
        <w:rPr>
          <w:rFonts w:hint="eastAsia" w:ascii="仿宋_GB2312"/>
          <w:bCs/>
          <w:lang w:val="en-US" w:eastAsia="zh-CN"/>
        </w:rPr>
        <w:t>95%。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ind w:firstLine="960" w:firstLineChars="300"/>
      </w:pPr>
      <w:r>
        <w:rPr>
          <w:rFonts w:hint="eastAsia" w:ascii="仿宋" w:hAnsi="仿宋" w:eastAsia="仿宋" w:cs="楷体"/>
          <w:sz w:val="32"/>
          <w:szCs w:val="32"/>
          <w:lang w:eastAsia="zh-CN"/>
        </w:rPr>
        <w:t>按照</w:t>
      </w:r>
      <w:r>
        <w:rPr>
          <w:rFonts w:hint="eastAsia" w:ascii="仿宋" w:hAnsi="仿宋" w:eastAsia="仿宋"/>
          <w:sz w:val="32"/>
          <w:lang w:val="en-US" w:eastAsia="zh-CN"/>
        </w:rPr>
        <w:t>中小微发展专项资金“专精特新”中小企业项目申报工作要求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，加强政策的宣传，对具体工作周密部署，及时掌握企业生产经营情况，跟踪服务。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left="0" w:leftChars="0" w:firstLine="0" w:firstLineChars="0"/>
      </w:pPr>
      <w:r>
        <w:rPr>
          <w:rFonts w:hint="eastAsia" w:ascii="仿宋" w:hAnsi="仿宋" w:eastAsia="仿宋" w:cs="楷体"/>
          <w:sz w:val="32"/>
          <w:szCs w:val="32"/>
          <w:lang w:eastAsia="zh-CN"/>
        </w:rPr>
        <w:t>严格管理资金用途，做到专</w:t>
      </w:r>
      <w:bookmarkStart w:id="17" w:name="_GoBack"/>
      <w:bookmarkEnd w:id="17"/>
      <w:r>
        <w:rPr>
          <w:rFonts w:hint="eastAsia" w:ascii="仿宋" w:hAnsi="仿宋" w:eastAsia="仿宋" w:cs="楷体"/>
          <w:sz w:val="32"/>
          <w:szCs w:val="32"/>
          <w:lang w:eastAsia="zh-CN"/>
        </w:rPr>
        <w:t>款专用，切实发挥好奖补资金促进企业发展的作用。</w:t>
      </w:r>
    </w:p>
    <w:p>
      <w:pPr>
        <w:pStyle w:val="44"/>
        <w:ind w:firstLine="560"/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奖励企业个数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企业达标率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资金拨付时间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2021年底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奖励资金成本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60万元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增加收益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200万元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增加就业人数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20人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66.67%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8.57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未达到预期增加人数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服务企业满意度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12.85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08A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qFormat/>
    <w:uiPriority w:val="99"/>
    <w:pPr>
      <w:ind w:firstLine="420"/>
    </w:pPr>
  </w:style>
  <w:style w:type="paragraph" w:styleId="4">
    <w:name w:val="Body Text Indent"/>
    <w:basedOn w:val="1"/>
    <w:link w:val="35"/>
    <w:semiHidden/>
    <w:qFormat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qFormat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qFormat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qFormat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qFormat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qFormat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qFormat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qFormat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qFormat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qFormat/>
    <w:uiPriority w:val="99"/>
    <w:rPr>
      <w:b/>
      <w:bCs/>
    </w:rPr>
  </w:style>
  <w:style w:type="table" w:styleId="25">
    <w:name w:val="Table Grid"/>
    <w:basedOn w:val="24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qFormat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qFormat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qFormat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qFormat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qFormat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qFormat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qFormat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qFormat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qFormat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qFormat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qFormat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qFormat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qFormat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qFormat/>
    <w:uiPriority w:val="99"/>
    <w:rPr>
      <w:b w:val="0"/>
    </w:rPr>
  </w:style>
  <w:style w:type="character" w:customStyle="1" w:styleId="51">
    <w:name w:val="闻政-正文四级标题 Char"/>
    <w:link w:val="50"/>
    <w:qFormat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qFormat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2022-04-01T09:18:18Z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