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黑体" w:hAnsi="黑体" w:eastAsia="黑体" w:cs="黑体"/>
          <w:b/>
          <w:bCs/>
          <w:i w:val="0"/>
          <w:iCs w:val="0"/>
          <w:caps w:val="0"/>
          <w:color w:val="1E1E1E"/>
          <w:spacing w:val="0"/>
          <w:kern w:val="0"/>
          <w:sz w:val="48"/>
          <w:szCs w:val="4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黑体" w:hAnsi="黑体" w:eastAsia="黑体" w:cs="黑体"/>
          <w:b/>
          <w:bCs/>
          <w:i w:val="0"/>
          <w:iCs w:val="0"/>
          <w:caps w:val="0"/>
          <w:color w:val="1E1E1E"/>
          <w:spacing w:val="0"/>
          <w:kern w:val="0"/>
          <w:sz w:val="48"/>
          <w:szCs w:val="48"/>
          <w:lang w:val="en-US" w:eastAsia="zh-CN" w:bidi="ar"/>
        </w:rPr>
      </w:pPr>
      <w:r>
        <w:rPr>
          <w:rFonts w:hint="eastAsia" w:ascii="黑体" w:hAnsi="黑体" w:eastAsia="黑体" w:cs="黑体"/>
          <w:b/>
          <w:bCs/>
          <w:i w:val="0"/>
          <w:iCs w:val="0"/>
          <w:caps w:val="0"/>
          <w:color w:val="1E1E1E"/>
          <w:spacing w:val="0"/>
          <w:kern w:val="0"/>
          <w:sz w:val="48"/>
          <w:szCs w:val="48"/>
          <w:lang w:val="en-US" w:eastAsia="zh-CN" w:bidi="ar"/>
        </w:rPr>
        <w:t>曲沃县交通运输局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黑体" w:hAnsi="黑体" w:eastAsia="黑体" w:cs="黑体"/>
          <w:b/>
          <w:bCs/>
          <w:i w:val="0"/>
          <w:iCs w:val="0"/>
          <w:caps w:val="0"/>
          <w:color w:val="1E1E1E"/>
          <w:spacing w:val="0"/>
          <w:sz w:val="48"/>
          <w:szCs w:val="48"/>
        </w:rPr>
      </w:pPr>
      <w:r>
        <w:rPr>
          <w:rFonts w:hint="eastAsia" w:ascii="黑体" w:hAnsi="黑体" w:eastAsia="黑体" w:cs="黑体"/>
          <w:b/>
          <w:bCs/>
          <w:i w:val="0"/>
          <w:iCs w:val="0"/>
          <w:caps w:val="0"/>
          <w:color w:val="1E1E1E"/>
          <w:spacing w:val="0"/>
          <w:kern w:val="0"/>
          <w:sz w:val="48"/>
          <w:szCs w:val="48"/>
          <w:lang w:val="en-US" w:eastAsia="zh-CN" w:bidi="ar"/>
        </w:rPr>
        <w:t>2021年度部门整体支出绩效自评报告</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根据《曲沃县财政局关于编制2021年部门整体支出绩效目标的通知》等文件的要求，秉着独立、客观、公正的原则，根据设定的绩效目标，运用科学、合理的绩效评价指标、评价标准和评价方法，对整体支出的绩效目标完成情况、产出与效果、预算管理水平等进行绩效评价。现将绩效评价结果报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157"/>
        <w:jc w:val="left"/>
      </w:pPr>
      <w:r>
        <w:rPr>
          <w:rFonts w:hint="eastAsia" w:ascii="仿宋" w:hAnsi="仿宋" w:eastAsia="仿宋" w:cs="仿宋"/>
          <w:b/>
          <w:bCs/>
          <w:i w:val="0"/>
          <w:iCs w:val="0"/>
          <w:caps w:val="0"/>
          <w:color w:val="1E1E1E"/>
          <w:spacing w:val="0"/>
          <w:kern w:val="0"/>
          <w:sz w:val="32"/>
          <w:szCs w:val="32"/>
          <w:lang w:val="en-US" w:eastAsia="zh-CN" w:bidi="ar"/>
        </w:rPr>
        <w:t>一、部门概况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0"/>
        <w:jc w:val="left"/>
      </w:pPr>
      <w:r>
        <w:rPr>
          <w:rFonts w:hint="eastAsia" w:ascii="仿宋" w:hAnsi="仿宋" w:eastAsia="仿宋" w:cs="仿宋"/>
          <w:b/>
          <w:bCs/>
          <w:i w:val="0"/>
          <w:iCs w:val="0"/>
          <w:caps w:val="0"/>
          <w:color w:val="1E1E1E"/>
          <w:spacing w:val="0"/>
          <w:kern w:val="0"/>
          <w:sz w:val="32"/>
          <w:szCs w:val="32"/>
          <w:lang w:val="en-US" w:eastAsia="zh-CN" w:bidi="ar"/>
        </w:rPr>
        <w:t>（一）部门基本情况</w:t>
      </w:r>
    </w:p>
    <w:p>
      <w:pPr>
        <w:ind w:firstLine="640" w:firstLineChars="200"/>
        <w:rPr>
          <w:rFonts w:hint="eastAsia" w:ascii="仿宋_GB2312" w:hAnsi="宋体" w:eastAsia="仿宋_GB2312"/>
          <w:color w:val="auto"/>
          <w:sz w:val="32"/>
          <w:szCs w:val="32"/>
          <w:highlight w:val="none"/>
        </w:rPr>
      </w:pPr>
      <w:r>
        <w:rPr>
          <w:rFonts w:hint="eastAsia" w:ascii="仿宋_GB2312" w:hAnsi="仿宋" w:eastAsia="仿宋_GB2312"/>
          <w:color w:val="auto"/>
          <w:sz w:val="32"/>
          <w:szCs w:val="32"/>
          <w:highlight w:val="none"/>
          <w:lang w:val="en-US" w:eastAsia="zh-CN"/>
        </w:rPr>
        <w:t>1、</w:t>
      </w:r>
      <w:r>
        <w:rPr>
          <w:rFonts w:hint="eastAsia" w:ascii="仿宋_GB2312" w:hAnsi="仿宋" w:eastAsia="仿宋_GB2312"/>
          <w:sz w:val="32"/>
          <w:szCs w:val="32"/>
          <w:highlight w:val="none"/>
          <w:lang w:val="en-US" w:eastAsia="zh-CN"/>
        </w:rPr>
        <w:t>本部门内设机构包括：</w:t>
      </w:r>
      <w:r>
        <w:rPr>
          <w:rFonts w:hint="eastAsia" w:ascii="仿宋_GB2312" w:hAnsi="仿宋" w:eastAsia="仿宋_GB2312"/>
          <w:sz w:val="32"/>
          <w:szCs w:val="32"/>
          <w:highlight w:val="none"/>
        </w:rPr>
        <w:t>办公室、</w:t>
      </w:r>
      <w:r>
        <w:rPr>
          <w:rFonts w:hint="eastAsia" w:ascii="仿宋_GB2312" w:hAnsi="仿宋" w:eastAsia="仿宋_GB2312"/>
          <w:sz w:val="32"/>
          <w:szCs w:val="32"/>
          <w:highlight w:val="none"/>
          <w:lang w:val="en-US" w:eastAsia="zh-CN"/>
        </w:rPr>
        <w:t>财务</w:t>
      </w:r>
      <w:r>
        <w:rPr>
          <w:rFonts w:hint="eastAsia" w:ascii="仿宋_GB2312" w:hAnsi="仿宋" w:eastAsia="仿宋_GB2312"/>
          <w:sz w:val="32"/>
          <w:szCs w:val="32"/>
          <w:highlight w:val="none"/>
        </w:rPr>
        <w:t>股、</w:t>
      </w:r>
      <w:r>
        <w:rPr>
          <w:rFonts w:hint="eastAsia" w:ascii="仿宋_GB2312" w:hAnsi="仿宋" w:eastAsia="仿宋_GB2312"/>
          <w:sz w:val="32"/>
          <w:szCs w:val="32"/>
          <w:highlight w:val="none"/>
          <w:lang w:val="en-US" w:eastAsia="zh-CN"/>
        </w:rPr>
        <w:t>道路</w:t>
      </w:r>
      <w:r>
        <w:rPr>
          <w:rFonts w:hint="eastAsia" w:ascii="仿宋_GB2312" w:hAnsi="仿宋" w:eastAsia="仿宋_GB2312"/>
          <w:sz w:val="32"/>
          <w:szCs w:val="32"/>
          <w:highlight w:val="none"/>
        </w:rPr>
        <w:t>股、</w:t>
      </w:r>
      <w:r>
        <w:rPr>
          <w:rFonts w:hint="eastAsia" w:ascii="仿宋_GB2312" w:hAnsi="仿宋" w:eastAsia="仿宋_GB2312"/>
          <w:sz w:val="32"/>
          <w:szCs w:val="32"/>
          <w:highlight w:val="none"/>
          <w:lang w:val="en-US" w:eastAsia="zh-CN"/>
        </w:rPr>
        <w:t>养护中心</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法制办</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安全办</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企业</w:t>
      </w:r>
      <w:r>
        <w:rPr>
          <w:rFonts w:hint="eastAsia" w:ascii="仿宋_GB2312" w:hAnsi="仿宋" w:eastAsia="仿宋_GB2312"/>
          <w:sz w:val="32"/>
          <w:szCs w:val="32"/>
          <w:highlight w:val="none"/>
        </w:rPr>
        <w:t>股、</w:t>
      </w:r>
      <w:r>
        <w:rPr>
          <w:rFonts w:hint="eastAsia" w:ascii="仿宋_GB2312" w:hAnsi="仿宋" w:eastAsia="仿宋_GB2312"/>
          <w:sz w:val="32"/>
          <w:szCs w:val="32"/>
          <w:highlight w:val="none"/>
          <w:lang w:val="en-US" w:eastAsia="zh-CN"/>
        </w:rPr>
        <w:t>质监站</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党群办</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交通运输行政执法大队10</w:t>
      </w:r>
      <w:r>
        <w:rPr>
          <w:rFonts w:hint="eastAsia" w:ascii="仿宋_GB2312" w:hAnsi="仿宋" w:eastAsia="仿宋_GB2312"/>
          <w:sz w:val="32"/>
          <w:szCs w:val="32"/>
          <w:highlight w:val="none"/>
        </w:rPr>
        <w:t>个股室。</w:t>
      </w:r>
      <w:r>
        <w:rPr>
          <w:rFonts w:hint="eastAsia" w:ascii="仿宋_GB2312" w:hAnsi="宋体" w:eastAsia="仿宋_GB2312"/>
          <w:sz w:val="32"/>
          <w:szCs w:val="32"/>
          <w:highlight w:val="none"/>
        </w:rPr>
        <w:t>下属事业单位5个，分别为曲沃县城市客运</w:t>
      </w:r>
      <w:r>
        <w:rPr>
          <w:rFonts w:hint="eastAsia" w:ascii="仿宋_GB2312" w:hAnsi="宋体" w:eastAsia="仿宋_GB2312"/>
          <w:sz w:val="32"/>
          <w:szCs w:val="32"/>
          <w:highlight w:val="none"/>
          <w:lang w:val="en-US" w:eastAsia="zh-CN"/>
        </w:rPr>
        <w:t>服务中心</w:t>
      </w:r>
      <w:r>
        <w:rPr>
          <w:rFonts w:hint="eastAsia" w:ascii="仿宋_GB2312" w:hAnsi="宋体" w:eastAsia="仿宋_GB2312"/>
          <w:sz w:val="32"/>
          <w:szCs w:val="32"/>
          <w:highlight w:val="none"/>
        </w:rPr>
        <w:t>、曲沃县</w:t>
      </w:r>
      <w:r>
        <w:rPr>
          <w:rFonts w:hint="eastAsia" w:ascii="仿宋_GB2312" w:hAnsi="宋体" w:eastAsia="仿宋_GB2312"/>
          <w:sz w:val="32"/>
          <w:szCs w:val="32"/>
          <w:highlight w:val="none"/>
          <w:lang w:val="en-US" w:eastAsia="zh-CN"/>
        </w:rPr>
        <w:t>交通道路运输事业发展中心、</w:t>
      </w:r>
      <w:r>
        <w:rPr>
          <w:rFonts w:hint="eastAsia" w:ascii="仿宋_GB2312" w:hAnsi="宋体" w:eastAsia="仿宋_GB2312"/>
          <w:sz w:val="32"/>
          <w:szCs w:val="32"/>
          <w:highlight w:val="none"/>
        </w:rPr>
        <w:t>曲沃县客运汽车站、曲沃县农村公路养护中心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曲沃县交通运输综合行政执法队</w:t>
      </w:r>
      <w:r>
        <w:rPr>
          <w:rFonts w:hint="eastAsia" w:ascii="仿宋_GB2312" w:hAnsi="宋体" w:eastAsia="仿宋_GB2312"/>
          <w:color w:val="auto"/>
          <w:sz w:val="32"/>
          <w:szCs w:val="32"/>
          <w:highlight w:val="none"/>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pPr>
      <w:r>
        <w:rPr>
          <w:rFonts w:hint="eastAsia" w:ascii="仿宋_GB2312" w:hAnsi="仿宋" w:eastAsia="仿宋_GB2312"/>
          <w:color w:val="auto"/>
          <w:sz w:val="32"/>
          <w:szCs w:val="32"/>
          <w:highlight w:val="none"/>
          <w:lang w:val="en-US" w:eastAsia="zh-CN"/>
        </w:rPr>
        <w:t>2、</w:t>
      </w:r>
      <w:r>
        <w:rPr>
          <w:rFonts w:hint="eastAsia" w:ascii="仿宋" w:hAnsi="仿宋" w:eastAsia="仿宋" w:cs="仿宋"/>
          <w:i w:val="0"/>
          <w:iCs w:val="0"/>
          <w:caps w:val="0"/>
          <w:color w:val="333333"/>
          <w:spacing w:val="0"/>
          <w:kern w:val="0"/>
          <w:sz w:val="32"/>
          <w:szCs w:val="32"/>
          <w:shd w:val="clear" w:fill="FFFFFF"/>
          <w:lang w:val="en-US" w:eastAsia="zh-CN" w:bidi="ar"/>
        </w:rPr>
        <w:t>2021年年初预算，编制人数113人，其中行政编制7人，实有人员102人。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3" w:firstLineChars="200"/>
        <w:jc w:val="left"/>
      </w:pPr>
      <w:r>
        <w:rPr>
          <w:rFonts w:hint="eastAsia" w:ascii="仿宋" w:hAnsi="仿宋" w:eastAsia="仿宋" w:cs="仿宋"/>
          <w:b/>
          <w:bCs/>
          <w:i w:val="0"/>
          <w:iCs w:val="0"/>
          <w:caps w:val="0"/>
          <w:color w:val="1E1E1E"/>
          <w:spacing w:val="0"/>
          <w:kern w:val="0"/>
          <w:sz w:val="32"/>
          <w:szCs w:val="32"/>
          <w:lang w:val="en-US" w:eastAsia="zh-CN" w:bidi="ar"/>
        </w:rPr>
        <w:t>（二）主要工作职责</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1、</w:t>
      </w:r>
      <w:r>
        <w:rPr>
          <w:rFonts w:hint="eastAsia" w:ascii="仿宋_GB2312" w:eastAsia="仿宋_GB2312"/>
          <w:color w:val="auto"/>
          <w:sz w:val="32"/>
          <w:szCs w:val="32"/>
          <w:highlight w:val="none"/>
        </w:rPr>
        <w:t>贯彻执行国家关于交通运输的法律法规和方针政策；结合全县国民经济和社会发展需要，拟定全县交通运输发展战略建议。</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2、</w:t>
      </w:r>
      <w:r>
        <w:rPr>
          <w:rFonts w:hint="eastAsia" w:ascii="仿宋_GB2312" w:eastAsia="仿宋_GB2312"/>
          <w:color w:val="auto"/>
          <w:sz w:val="32"/>
          <w:szCs w:val="32"/>
          <w:highlight w:val="none"/>
        </w:rPr>
        <w:t>承担涉及全县综合交通运输体系的规划协调工作，会同有关部门组织编制全县综合交通运输体系规划。指导全县交通运输枢纽规划和管理。</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3、</w:t>
      </w:r>
      <w:r>
        <w:rPr>
          <w:rFonts w:hint="eastAsia" w:ascii="仿宋_GB2312" w:eastAsia="仿宋_GB2312"/>
          <w:color w:val="auto"/>
          <w:sz w:val="32"/>
          <w:szCs w:val="32"/>
          <w:highlight w:val="none"/>
        </w:rPr>
        <w:t>组织拟订并监督实施全县公路、水路行业规划。参与拟订全县物流发展战略和规划，拟订有关制度、标准并监督实施。指导全县公路、水路行业有关体制改革工作。</w:t>
      </w:r>
    </w:p>
    <w:p>
      <w:pPr>
        <w:spacing w:line="580" w:lineRule="exact"/>
        <w:ind w:firstLine="640" w:firstLineChars="200"/>
        <w:rPr>
          <w:rFonts w:hint="eastAsia" w:ascii="仿宋_GB2312" w:hAnsi="ˎ̥,Verdana,Arial" w:eastAsia="仿宋_GB2312" w:cs="宋体"/>
          <w:color w:val="auto"/>
          <w:kern w:val="0"/>
          <w:sz w:val="32"/>
          <w:szCs w:val="32"/>
          <w:highlight w:val="none"/>
          <w:lang w:val="en-US" w:eastAsia="zh-CN"/>
        </w:rPr>
      </w:pPr>
      <w:r>
        <w:rPr>
          <w:rFonts w:hint="eastAsia" w:ascii="仿宋_GB2312" w:hAnsi="ˎ̥,Verdana,Arial" w:eastAsia="仿宋_GB2312" w:cs="宋体"/>
          <w:color w:val="auto"/>
          <w:kern w:val="0"/>
          <w:sz w:val="32"/>
          <w:szCs w:val="32"/>
          <w:highlight w:val="none"/>
          <w:lang w:val="en-US" w:eastAsia="zh-CN"/>
        </w:rPr>
        <w:t>4、</w:t>
      </w:r>
      <w:r>
        <w:rPr>
          <w:rFonts w:hint="eastAsia" w:ascii="仿宋_GB2312" w:eastAsia="仿宋_GB2312"/>
          <w:color w:val="auto"/>
          <w:sz w:val="32"/>
          <w:szCs w:val="32"/>
          <w:highlight w:val="none"/>
        </w:rPr>
        <w:t>承担全县公路、水路运输市场监管责任。组织制定和落实全县公路、水路运输有关政策、准入制度、技术标准和运营规范并监督实施。负责交通运输行政执法行为的监督管理；指导城乡客运及有关设施规划与管理工作，指导出租汽车行业管理工作；指导城市公交客运的运营管理；承担全县水路运输管理工作。</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5、</w:t>
      </w:r>
      <w:r>
        <w:rPr>
          <w:rFonts w:hint="eastAsia" w:ascii="仿宋_GB2312" w:eastAsia="仿宋_GB2312"/>
          <w:color w:val="auto"/>
          <w:sz w:val="32"/>
          <w:szCs w:val="32"/>
          <w:highlight w:val="none"/>
        </w:rPr>
        <w:t>承担水上交通安全监管责任。负责水上交通管制、船舶及相关水上设施检验、登记和防止污染、水上消防、航行保障、应急救助、船舶与渡口设施保安及危险品运输监督管理等工作。负责船员管理的有关工作。负责全县水上交通安全事故、船舶及相关水上设施污染事故的应急处理。指导全县水上安全监管工作。</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6、</w:t>
      </w:r>
      <w:r>
        <w:rPr>
          <w:rFonts w:hint="eastAsia" w:ascii="仿宋_GB2312" w:eastAsia="仿宋_GB2312"/>
          <w:color w:val="auto"/>
          <w:sz w:val="32"/>
          <w:szCs w:val="32"/>
          <w:highlight w:val="none"/>
        </w:rPr>
        <w:t>负责提出全县公路、水路固定资产投资规模和方向、国家及省市县级财政性资金安排意见，按县政府和市交通运输局确定的公路、水路等基础设施发展目标，科学安排规划内和年度计划内固定资产投资项目。</w:t>
      </w:r>
    </w:p>
    <w:p>
      <w:pPr>
        <w:spacing w:line="580" w:lineRule="exact"/>
        <w:ind w:firstLine="640" w:firstLineChars="200"/>
        <w:rPr>
          <w:rFonts w:hint="eastAsia" w:ascii="仿宋_GB2312" w:hAnsi="宋体" w:eastAsia="仿宋_GB2312"/>
          <w:color w:val="auto"/>
          <w:sz w:val="32"/>
          <w:highlight w:val="none"/>
        </w:rPr>
      </w:pPr>
      <w:r>
        <w:rPr>
          <w:rFonts w:hint="eastAsia" w:ascii="仿宋_GB2312" w:hAnsi="ˎ̥,Verdana,Arial" w:eastAsia="仿宋_GB2312" w:cs="宋体"/>
          <w:color w:val="auto"/>
          <w:kern w:val="0"/>
          <w:sz w:val="32"/>
          <w:szCs w:val="32"/>
          <w:highlight w:val="none"/>
          <w:lang w:val="en-US" w:eastAsia="zh-CN"/>
        </w:rPr>
        <w:t>7、</w:t>
      </w:r>
      <w:r>
        <w:rPr>
          <w:rFonts w:hint="eastAsia" w:ascii="仿宋_GB2312" w:eastAsia="仿宋_GB2312"/>
          <w:color w:val="auto"/>
          <w:sz w:val="32"/>
          <w:szCs w:val="32"/>
          <w:highlight w:val="none"/>
        </w:rPr>
        <w:t>承担公路、水路建设市场监管责任。拟定全县公路、水路工程建设相关制度，监督实施行业技术标准；组织实施公路、水路重点工程建设和工程质量、安全生产监督管理工作。指导组织全县交通运输基础设施管理和维护，承担有关重要设施的管理和维护。按规定负责渡口规划和岸线使用管理工作。</w:t>
      </w:r>
    </w:p>
    <w:p>
      <w:pPr>
        <w:spacing w:line="580" w:lineRule="exact"/>
        <w:ind w:firstLine="640" w:firstLineChars="200"/>
        <w:rPr>
          <w:rFonts w:hint="eastAsia" w:ascii="仿宋_GB2312" w:hAnsi="宋体" w:eastAsia="仿宋_GB2312"/>
          <w:color w:val="auto"/>
          <w:sz w:val="32"/>
          <w:highlight w:val="none"/>
        </w:rPr>
      </w:pPr>
      <w:r>
        <w:rPr>
          <w:rFonts w:hint="eastAsia" w:ascii="仿宋_GB2312" w:hAnsi="ˎ̥,Verdana,Arial" w:eastAsia="仿宋_GB2312" w:cs="宋体"/>
          <w:color w:val="auto"/>
          <w:kern w:val="0"/>
          <w:sz w:val="32"/>
          <w:szCs w:val="32"/>
          <w:highlight w:val="none"/>
          <w:lang w:val="en-US" w:eastAsia="zh-CN"/>
        </w:rPr>
        <w:t>8、</w:t>
      </w:r>
      <w:r>
        <w:rPr>
          <w:rFonts w:hint="eastAsia" w:ascii="仿宋_GB2312" w:hAnsi="宋体" w:eastAsia="仿宋_GB2312"/>
          <w:color w:val="auto"/>
          <w:sz w:val="32"/>
          <w:highlight w:val="none"/>
        </w:rPr>
        <w:t>负责组织全县农村公路的建设、管理和养护；指导全县地方公路网络化建设以及公路行业管理；对全县农村公路建设工程实施质量监督。负责全县农村公路的运政、路政等管理工作。指导全县车辆超限治理工作，并对相关治超的政策、法规落实情况实施监督、检查和考核。</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9、</w:t>
      </w:r>
      <w:r>
        <w:rPr>
          <w:rFonts w:hint="eastAsia" w:ascii="仿宋_GB2312" w:hAnsi="宋体" w:eastAsia="仿宋_GB2312"/>
          <w:color w:val="auto"/>
          <w:sz w:val="32"/>
          <w:highlight w:val="none"/>
        </w:rPr>
        <w:t>指导全县公路、水路行业安全生产和应急管理工作。按规定组织协调重点物资和紧急客货运输；负责全县农村公路网的运行监测和协调；承担国防动员交通战备有关工作</w:t>
      </w:r>
      <w:r>
        <w:rPr>
          <w:rFonts w:hint="eastAsia" w:ascii="仿宋_GB2312" w:eastAsia="仿宋_GB2312"/>
          <w:color w:val="auto"/>
          <w:sz w:val="32"/>
          <w:szCs w:val="32"/>
          <w:highlight w:val="none"/>
        </w:rPr>
        <w:t>；指导全县交通运输行业安全保卫工作。</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10、</w:t>
      </w:r>
      <w:r>
        <w:rPr>
          <w:rFonts w:hint="eastAsia" w:ascii="仿宋_GB2312" w:eastAsia="仿宋_GB2312"/>
          <w:color w:val="auto"/>
          <w:sz w:val="32"/>
          <w:szCs w:val="32"/>
          <w:highlight w:val="none"/>
        </w:rPr>
        <w:t>指导全县交通运输信息化建设、监测分析运行情况；开展相关统计工作，发布有关信息。组织和指导全县公路、水路行业科技开发、环境保护和节能减排等工作。</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11、</w:t>
      </w:r>
      <w:r>
        <w:rPr>
          <w:rFonts w:hint="eastAsia" w:ascii="仿宋_GB2312" w:eastAsia="仿宋_GB2312"/>
          <w:color w:val="auto"/>
          <w:sz w:val="32"/>
          <w:szCs w:val="32"/>
          <w:highlight w:val="none"/>
        </w:rPr>
        <w:t>指导全县交通运输行业职工队伍建设。负责交通运输行业涉外工作和引进外资工作。</w:t>
      </w:r>
    </w:p>
    <w:p>
      <w:pPr>
        <w:spacing w:line="580" w:lineRule="exact"/>
        <w:ind w:firstLine="640" w:firstLineChars="200"/>
        <w:rPr>
          <w:rFonts w:hint="eastAsia" w:ascii="仿宋_GB2312" w:eastAsia="仿宋_GB2312"/>
          <w:color w:val="auto"/>
          <w:sz w:val="32"/>
          <w:szCs w:val="32"/>
          <w:highlight w:val="none"/>
        </w:rPr>
      </w:pPr>
      <w:r>
        <w:rPr>
          <w:rFonts w:hint="eastAsia" w:ascii="仿宋_GB2312"/>
          <w:color w:val="auto"/>
          <w:sz w:val="32"/>
          <w:szCs w:val="32"/>
          <w:highlight w:val="none"/>
          <w:lang w:val="en-US" w:eastAsia="zh-CN"/>
        </w:rPr>
        <w:t>12、</w:t>
      </w:r>
      <w:r>
        <w:rPr>
          <w:rFonts w:hint="eastAsia" w:ascii="仿宋_GB2312" w:eastAsia="仿宋_GB2312"/>
          <w:color w:val="auto"/>
          <w:sz w:val="32"/>
          <w:szCs w:val="32"/>
          <w:highlight w:val="none"/>
          <w:lang w:val="en-US" w:eastAsia="zh-CN"/>
        </w:rPr>
        <w:t>完成县委县政府</w:t>
      </w:r>
      <w:r>
        <w:rPr>
          <w:rFonts w:hint="eastAsia" w:ascii="仿宋_GB2312" w:eastAsia="仿宋_GB2312"/>
          <w:color w:val="auto"/>
          <w:sz w:val="32"/>
          <w:szCs w:val="32"/>
          <w:highlight w:val="none"/>
        </w:rPr>
        <w:t>交办的其他事项。</w:t>
      </w:r>
      <w:r>
        <w:rPr>
          <w:rFonts w:ascii="仿宋_GB2312" w:hAnsi="ˎ̥,Verdana,Arial" w:eastAsia="仿宋_GB2312" w:cs="宋体"/>
          <w:color w:val="auto"/>
          <w:kern w:val="0"/>
          <w:sz w:val="32"/>
          <w:szCs w:val="32"/>
          <w:highlight w:val="none"/>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0"/>
        <w:jc w:val="left"/>
      </w:pPr>
      <w:r>
        <w:rPr>
          <w:rFonts w:hint="eastAsia" w:ascii="仿宋" w:hAnsi="仿宋" w:eastAsia="仿宋" w:cs="仿宋"/>
          <w:b/>
          <w:bCs/>
          <w:i w:val="0"/>
          <w:iCs w:val="0"/>
          <w:caps w:val="0"/>
          <w:color w:val="1E1E1E"/>
          <w:spacing w:val="0"/>
          <w:kern w:val="0"/>
          <w:sz w:val="32"/>
          <w:szCs w:val="32"/>
          <w:lang w:val="en-US" w:eastAsia="zh-CN" w:bidi="ar"/>
        </w:rPr>
        <w:t>（三）2021年度工作计划</w:t>
      </w:r>
    </w:p>
    <w:p>
      <w:pPr>
        <w:keepNext w:val="0"/>
        <w:keepLines w:val="0"/>
        <w:pageBreakBefore w:val="0"/>
        <w:widowControl w:val="0"/>
        <w:kinsoku/>
        <w:wordWrap/>
        <w:overflowPunct/>
        <w:topLinePunct w:val="0"/>
        <w:autoSpaceDE/>
        <w:autoSpaceDN/>
        <w:bidi w:val="0"/>
        <w:snapToGrid/>
        <w:spacing w:line="64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按照</w:t>
      </w:r>
      <w:r>
        <w:rPr>
          <w:rFonts w:hint="eastAsia" w:ascii="仿宋_GB2312" w:eastAsia="仿宋_GB2312"/>
          <w:sz w:val="32"/>
          <w:szCs w:val="32"/>
          <w:highlight w:val="none"/>
        </w:rPr>
        <w:t>县委、县政府对全县交通</w:t>
      </w:r>
      <w:r>
        <w:rPr>
          <w:rFonts w:hint="eastAsia" w:ascii="仿宋_GB2312" w:eastAsia="仿宋_GB2312"/>
          <w:sz w:val="32"/>
          <w:szCs w:val="32"/>
          <w:highlight w:val="none"/>
          <w:lang w:val="en-US" w:eastAsia="zh-CN"/>
        </w:rPr>
        <w:t>运输工作</w:t>
      </w:r>
      <w:r>
        <w:rPr>
          <w:rFonts w:hint="eastAsia" w:ascii="仿宋_GB2312" w:eastAsia="仿宋_GB2312"/>
          <w:sz w:val="32"/>
          <w:szCs w:val="32"/>
          <w:highlight w:val="none"/>
        </w:rPr>
        <w:t>的总体部署和省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市交通主管部门相关要求，</w:t>
      </w:r>
      <w:r>
        <w:rPr>
          <w:rFonts w:hint="eastAsia" w:ascii="仿宋_GB2312" w:eastAsia="仿宋_GB2312"/>
          <w:sz w:val="32"/>
          <w:szCs w:val="32"/>
          <w:highlight w:val="none"/>
          <w:lang w:val="en-US" w:eastAsia="zh-CN"/>
        </w:rPr>
        <w:t>结合我县交通工作实际，拟实施五项工作。</w:t>
      </w:r>
    </w:p>
    <w:p>
      <w:pPr>
        <w:keepNext w:val="0"/>
        <w:keepLines w:val="0"/>
        <w:pageBreakBefore w:val="0"/>
        <w:widowControl w:val="0"/>
        <w:numPr>
          <w:numId w:val="0"/>
        </w:numPr>
        <w:kinsoku/>
        <w:wordWrap/>
        <w:overflowPunct/>
        <w:topLinePunct w:val="0"/>
        <w:autoSpaceDE/>
        <w:autoSpaceDN/>
        <w:bidi w:val="0"/>
        <w:snapToGrid/>
        <w:spacing w:line="6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lang w:val="en-US" w:eastAsia="zh-CN"/>
        </w:rPr>
        <w:t>（1）结合</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交通强国建设纲要</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完成交通运输系统“十四五”规划的编制工作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w:t>
      </w:r>
    </w:p>
    <w:p>
      <w:pPr>
        <w:keepNext w:val="0"/>
        <w:keepLines w:val="0"/>
        <w:pageBreakBefore w:val="0"/>
        <w:widowControl w:val="0"/>
        <w:numPr>
          <w:numId w:val="0"/>
        </w:numPr>
        <w:kinsoku/>
        <w:wordWrap/>
        <w:overflowPunct/>
        <w:topLinePunct w:val="0"/>
        <w:autoSpaceDE/>
        <w:autoSpaceDN/>
        <w:bidi w:val="0"/>
        <w:snapToGrid/>
        <w:spacing w:line="6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lang w:val="en-US" w:eastAsia="zh-CN"/>
        </w:rPr>
        <w:t>（2）完成好2020年工程项目续建任务</w:t>
      </w:r>
      <w:r>
        <w:rPr>
          <w:rFonts w:hint="eastAsia" w:ascii="仿宋_GB2312" w:eastAsia="仿宋_GB2312"/>
          <w:sz w:val="32"/>
          <w:szCs w:val="32"/>
          <w:highlight w:val="none"/>
          <w:lang w:eastAsia="zh-CN"/>
        </w:rPr>
        <w:t>。</w:t>
      </w:r>
    </w:p>
    <w:p>
      <w:pPr>
        <w:keepNext w:val="0"/>
        <w:keepLines w:val="0"/>
        <w:pageBreakBefore w:val="0"/>
        <w:widowControl w:val="0"/>
        <w:numPr>
          <w:numId w:val="0"/>
        </w:numPr>
        <w:kinsoku/>
        <w:wordWrap/>
        <w:overflowPunct/>
        <w:topLinePunct w:val="0"/>
        <w:autoSpaceDE/>
        <w:autoSpaceDN/>
        <w:bidi w:val="0"/>
        <w:snapToGrid/>
        <w:spacing w:line="6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楷体" w:eastAsia="仿宋_GB2312" w:cs="楷体"/>
          <w:b w:val="0"/>
          <w:bCs/>
          <w:sz w:val="32"/>
          <w:szCs w:val="32"/>
          <w:highlight w:val="none"/>
          <w:lang w:val="en-US" w:eastAsia="zh-CN"/>
        </w:rPr>
        <w:t>（3）配合完成好</w:t>
      </w:r>
      <w:r>
        <w:rPr>
          <w:rFonts w:hint="eastAsia" w:ascii="仿宋_GB2312" w:hAnsi="楷体" w:eastAsia="仿宋_GB2312" w:cs="楷体"/>
          <w:b w:val="0"/>
          <w:bCs/>
          <w:sz w:val="32"/>
          <w:szCs w:val="32"/>
          <w:highlight w:val="none"/>
        </w:rPr>
        <w:t>国道G108襄汾--曲沃--侯马（曲沃段）过境改线工程</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　　　</w:t>
      </w:r>
    </w:p>
    <w:p>
      <w:pPr>
        <w:keepNext w:val="0"/>
        <w:keepLines w:val="0"/>
        <w:pageBreakBefore w:val="0"/>
        <w:widowControl w:val="0"/>
        <w:numPr>
          <w:numId w:val="0"/>
        </w:numPr>
        <w:kinsoku/>
        <w:wordWrap/>
        <w:overflowPunct/>
        <w:topLinePunct w:val="0"/>
        <w:autoSpaceDE/>
        <w:autoSpaceDN/>
        <w:bidi w:val="0"/>
        <w:snapToGrid/>
        <w:spacing w:line="64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（4）全面推行</w:t>
      </w:r>
      <w:r>
        <w:rPr>
          <w:rFonts w:hint="eastAsia" w:ascii="仿宋_GB2312" w:hAnsi="仿宋_GB2312" w:eastAsia="仿宋_GB2312" w:cs="仿宋_GB2312"/>
          <w:b w:val="0"/>
          <w:bCs w:val="0"/>
          <w:sz w:val="32"/>
          <w:szCs w:val="32"/>
          <w:highlight w:val="none"/>
          <w:lang w:val="en-US" w:eastAsia="zh-CN"/>
        </w:rPr>
        <w:t>“路长制”，健全全县农村公路养护体制，构建县、乡、村三级农村公路制职责明确、齐抓共管、高效运转的工作机制。</w:t>
      </w:r>
    </w:p>
    <w:p>
      <w:pPr>
        <w:pStyle w:val="2"/>
        <w:numPr>
          <w:ilvl w:val="0"/>
          <w:numId w:val="0"/>
        </w:numPr>
        <w:ind w:firstLine="640" w:firstLineChars="200"/>
        <w:rPr>
          <w:rFonts w:hint="eastAsia" w:ascii="黑体" w:hAnsi="黑体" w:eastAsia="黑体" w:cs="黑体"/>
          <w:color w:val="FF0000"/>
          <w:sz w:val="32"/>
          <w:szCs w:val="32"/>
          <w:highlight w:val="none"/>
          <w:lang w:val="en-US" w:eastAsia="zh-CN"/>
        </w:rPr>
      </w:pPr>
      <w:r>
        <w:rPr>
          <w:rFonts w:hint="eastAsia"/>
          <w:highlight w:val="none"/>
          <w:lang w:val="en-US" w:eastAsia="zh-CN"/>
        </w:rPr>
        <w:t>（5）全面推进养护市场化改革，全面落实养护资金，确保资金到位，实行专业化、标准化养护。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二、部门整体支出规模、使用方向和内容</w:t>
      </w:r>
      <w:r>
        <w:rPr>
          <w:rFonts w:hint="eastAsia" w:ascii="仿宋" w:hAnsi="仿宋" w:eastAsia="仿宋" w:cs="仿宋"/>
          <w:b/>
          <w:bCs/>
          <w:i w:val="0"/>
          <w:iCs w:val="0"/>
          <w:caps w:val="0"/>
          <w:color w:val="1E1E1E"/>
          <w:spacing w:val="0"/>
          <w:kern w:val="0"/>
          <w:sz w:val="32"/>
          <w:szCs w:val="32"/>
          <w:lang w:val="en-US" w:eastAsia="zh-CN" w:bidi="ar"/>
        </w:rPr>
        <w:t>（金额：万元）。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（一）年度预算收支情况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1.年初预算收支</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00"/>
        <w:gridCol w:w="1462"/>
        <w:gridCol w:w="1462"/>
        <w:gridCol w:w="1462"/>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2" w:hRule="atLeast"/>
          <w:jc w:val="center"/>
        </w:trPr>
        <w:tc>
          <w:tcPr>
            <w:tcW w:w="0" w:type="auto"/>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bCs/>
                <w:color w:val="000000"/>
                <w:kern w:val="0"/>
                <w:sz w:val="32"/>
                <w:szCs w:val="32"/>
                <w:lang w:val="en-US" w:eastAsia="zh-CN" w:bidi="ar"/>
              </w:rPr>
              <w:t>预算项目</w:t>
            </w:r>
          </w:p>
        </w:tc>
        <w:tc>
          <w:tcPr>
            <w:tcW w:w="0" w:type="auto"/>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bCs/>
                <w:color w:val="000000"/>
                <w:kern w:val="0"/>
                <w:sz w:val="32"/>
                <w:szCs w:val="32"/>
                <w:lang w:val="en-US" w:eastAsia="zh-CN" w:bidi="ar"/>
              </w:rPr>
              <w:t>预算金额</w:t>
            </w:r>
          </w:p>
        </w:tc>
        <w:tc>
          <w:tcPr>
            <w:tcW w:w="0" w:type="auto"/>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bCs/>
                <w:color w:val="000000"/>
                <w:kern w:val="0"/>
                <w:sz w:val="32"/>
                <w:szCs w:val="32"/>
                <w:lang w:val="en-US" w:eastAsia="zh-CN" w:bidi="ar"/>
              </w:rPr>
              <w:t>较上年相比情况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2"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bCs/>
                <w:color w:val="000000"/>
                <w:kern w:val="0"/>
                <w:sz w:val="32"/>
                <w:szCs w:val="32"/>
                <w:lang w:val="en-US" w:eastAsia="zh-CN" w:bidi="ar"/>
              </w:rPr>
              <w:t>2021年</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bCs/>
                <w:color w:val="000000"/>
                <w:kern w:val="0"/>
                <w:sz w:val="32"/>
                <w:szCs w:val="32"/>
                <w:lang w:val="en-US" w:eastAsia="zh-CN" w:bidi="ar"/>
              </w:rPr>
              <w:t>2020年</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bCs/>
                <w:color w:val="000000"/>
                <w:kern w:val="0"/>
                <w:sz w:val="32"/>
                <w:szCs w:val="32"/>
                <w:lang w:val="en-US" w:eastAsia="zh-CN" w:bidi="ar"/>
              </w:rPr>
              <w:t>金额</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bCs/>
                <w:color w:val="000000"/>
                <w:kern w:val="0"/>
                <w:sz w:val="32"/>
                <w:szCs w:val="32"/>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left"/>
            </w:pPr>
            <w:r>
              <w:rPr>
                <w:rFonts w:hint="eastAsia" w:ascii="仿宋" w:hAnsi="仿宋" w:eastAsia="仿宋" w:cs="仿宋"/>
                <w:b/>
                <w:bCs/>
                <w:color w:val="010101"/>
                <w:kern w:val="0"/>
                <w:sz w:val="32"/>
                <w:szCs w:val="32"/>
                <w:lang w:val="en-US" w:eastAsia="zh-CN" w:bidi="ar"/>
              </w:rPr>
              <w:t>收入预算</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1426.69</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2921.52</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sz w:val="28"/>
                <w:szCs w:val="28"/>
                <w:lang w:val="en-US"/>
              </w:rPr>
            </w:pPr>
            <w:r>
              <w:rPr>
                <w:rFonts w:hint="eastAsia" w:ascii="仿宋" w:hAnsi="仿宋" w:eastAsia="仿宋" w:cs="仿宋"/>
                <w:color w:val="010101"/>
                <w:kern w:val="0"/>
                <w:sz w:val="28"/>
                <w:szCs w:val="28"/>
                <w:lang w:val="en-US" w:eastAsia="zh-CN" w:bidi="ar"/>
              </w:rPr>
              <w:t>-1494.83</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center"/>
            </w:pPr>
            <w:r>
              <w:rPr>
                <w:rFonts w:hint="eastAsia" w:ascii="仿宋" w:hAnsi="仿宋" w:eastAsia="仿宋" w:cs="仿宋"/>
                <w:color w:val="010101"/>
                <w:kern w:val="0"/>
                <w:sz w:val="32"/>
                <w:szCs w:val="32"/>
                <w:lang w:val="en-US" w:eastAsia="zh-CN" w:bidi="ar"/>
              </w:rPr>
              <w:t>-51.17%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pPr>
            <w:r>
              <w:rPr>
                <w:rFonts w:hint="eastAsia" w:ascii="仿宋" w:hAnsi="仿宋" w:eastAsia="仿宋" w:cs="仿宋"/>
                <w:color w:val="010101"/>
                <w:kern w:val="0"/>
                <w:sz w:val="32"/>
                <w:szCs w:val="32"/>
                <w:lang w:val="en-US" w:eastAsia="zh-CN" w:bidi="ar"/>
              </w:rPr>
              <w:t>其中：财政经费拨款</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1426.69</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2921.52</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sz w:val="28"/>
                <w:szCs w:val="28"/>
                <w:lang w:val="en-US"/>
              </w:rPr>
            </w:pPr>
            <w:r>
              <w:rPr>
                <w:rFonts w:hint="eastAsia" w:ascii="仿宋" w:hAnsi="仿宋" w:eastAsia="仿宋" w:cs="仿宋"/>
                <w:color w:val="010101"/>
                <w:kern w:val="0"/>
                <w:sz w:val="28"/>
                <w:szCs w:val="28"/>
                <w:lang w:val="en-US" w:eastAsia="zh-CN" w:bidi="ar"/>
              </w:rPr>
              <w:t>-1494.83</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center"/>
            </w:pPr>
            <w:r>
              <w:rPr>
                <w:rFonts w:hint="eastAsia" w:ascii="仿宋" w:hAnsi="仿宋" w:eastAsia="仿宋" w:cs="仿宋"/>
                <w:color w:val="010101"/>
                <w:kern w:val="0"/>
                <w:sz w:val="32"/>
                <w:szCs w:val="32"/>
                <w:lang w:val="en-US" w:eastAsia="zh-CN" w:bidi="ar"/>
              </w:rPr>
              <w:t>-51.17%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left"/>
            </w:pPr>
            <w:r>
              <w:rPr>
                <w:rFonts w:hint="eastAsia" w:ascii="仿宋" w:hAnsi="仿宋" w:eastAsia="仿宋" w:cs="仿宋"/>
                <w:b/>
                <w:bCs/>
                <w:color w:val="010101"/>
                <w:kern w:val="0"/>
                <w:sz w:val="32"/>
                <w:szCs w:val="32"/>
                <w:lang w:val="en-US" w:eastAsia="zh-CN" w:bidi="ar"/>
              </w:rPr>
              <w:t>支出预算</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1426.69</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2921.52</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sz w:val="28"/>
                <w:szCs w:val="28"/>
                <w:lang w:val="en-US"/>
              </w:rPr>
            </w:pPr>
            <w:r>
              <w:rPr>
                <w:rFonts w:hint="eastAsia" w:ascii="仿宋" w:hAnsi="仿宋" w:eastAsia="仿宋" w:cs="仿宋"/>
                <w:color w:val="010101"/>
                <w:kern w:val="0"/>
                <w:sz w:val="28"/>
                <w:szCs w:val="28"/>
                <w:lang w:val="en-US" w:eastAsia="zh-CN" w:bidi="ar"/>
              </w:rPr>
              <w:t>-1494.83</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center"/>
            </w:pPr>
            <w:r>
              <w:rPr>
                <w:rFonts w:hint="eastAsia" w:ascii="仿宋" w:hAnsi="仿宋" w:eastAsia="仿宋" w:cs="仿宋"/>
                <w:color w:val="010101"/>
                <w:kern w:val="0"/>
                <w:sz w:val="32"/>
                <w:szCs w:val="32"/>
                <w:lang w:val="en-US" w:eastAsia="zh-CN" w:bidi="ar"/>
              </w:rPr>
              <w:t>-51.17%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pPr>
            <w:r>
              <w:rPr>
                <w:rFonts w:hint="eastAsia" w:ascii="仿宋" w:hAnsi="仿宋" w:eastAsia="仿宋" w:cs="仿宋"/>
                <w:color w:val="010101"/>
                <w:kern w:val="0"/>
                <w:sz w:val="32"/>
                <w:szCs w:val="32"/>
                <w:lang w:val="en-US" w:eastAsia="zh-CN" w:bidi="ar"/>
              </w:rPr>
              <w:t>其中：基本支出</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301.69</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250.33</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default"/>
                <w:sz w:val="28"/>
                <w:szCs w:val="28"/>
                <w:lang w:val="en-US"/>
              </w:rPr>
            </w:pPr>
            <w:r>
              <w:rPr>
                <w:rFonts w:hint="eastAsia" w:ascii="仿宋" w:hAnsi="仿宋" w:eastAsia="仿宋" w:cs="仿宋"/>
                <w:color w:val="010101"/>
                <w:kern w:val="0"/>
                <w:sz w:val="28"/>
                <w:szCs w:val="28"/>
                <w:lang w:val="en-US" w:eastAsia="zh-CN" w:bidi="ar"/>
              </w:rPr>
              <w:t>+51.36</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center"/>
            </w:pPr>
            <w:r>
              <w:rPr>
                <w:rFonts w:hint="eastAsia" w:ascii="仿宋" w:hAnsi="仿宋" w:eastAsia="仿宋" w:cs="仿宋"/>
                <w:color w:val="010101"/>
                <w:kern w:val="0"/>
                <w:sz w:val="32"/>
                <w:szCs w:val="32"/>
                <w:lang w:val="en-US" w:eastAsia="zh-CN" w:bidi="ar"/>
              </w:rPr>
              <w:t>+20.52%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 根据年初预算批复，与上年比较，较上年减少1494.83万元，原因是</w:t>
      </w:r>
      <w:r>
        <w:rPr>
          <w:rFonts w:hint="eastAsia" w:ascii="仿宋_GB2312" w:hAnsi="仿宋" w:eastAsia="仿宋_GB2312"/>
          <w:sz w:val="32"/>
          <w:szCs w:val="32"/>
          <w:highlight w:val="none"/>
          <w:u w:val="none"/>
          <w:lang w:val="en-US" w:eastAsia="zh-CN"/>
        </w:rPr>
        <w:t>2021年预算中减少了项目经费</w:t>
      </w:r>
      <w:r>
        <w:rPr>
          <w:rFonts w:hint="eastAsia" w:ascii="仿宋" w:hAnsi="仿宋" w:eastAsia="仿宋" w:cs="仿宋"/>
          <w:i w:val="0"/>
          <w:iCs w:val="0"/>
          <w:caps w:val="0"/>
          <w:color w:val="1E1E1E"/>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2.财政预算整体支出使用范围、方向和内容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我局基本支出的范围和主要用途包括局机关的人员经费和日常公用经费及基本业务工作支出。具体包括：工资福利支出、对个人和家族的补助、商品和服务支出、其他资本性支出。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78" w:right="0" w:firstLine="480"/>
        <w:jc w:val="left"/>
      </w:pPr>
      <w:r>
        <w:rPr>
          <w:rFonts w:hint="eastAsia" w:ascii="仿宋" w:hAnsi="仿宋" w:eastAsia="仿宋" w:cs="仿宋"/>
          <w:i w:val="0"/>
          <w:iCs w:val="0"/>
          <w:caps w:val="0"/>
          <w:color w:val="1E1E1E"/>
          <w:spacing w:val="0"/>
          <w:kern w:val="0"/>
          <w:sz w:val="32"/>
          <w:szCs w:val="32"/>
          <w:lang w:val="en-US" w:eastAsia="zh-CN" w:bidi="ar"/>
        </w:rPr>
        <w:t>根据年初预算、预算调整，我局2021年度一般公共预算支出情况：（金额：万元）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firstLine="0"/>
        <w:jc w:val="left"/>
      </w:pPr>
      <w:r>
        <w:rPr>
          <w:rFonts w:hint="eastAsia" w:ascii="仿宋" w:hAnsi="仿宋" w:eastAsia="仿宋" w:cs="仿宋"/>
          <w:i w:val="0"/>
          <w:iCs w:val="0"/>
          <w:caps w:val="0"/>
          <w:color w:val="1E1E1E"/>
          <w:spacing w:val="0"/>
          <w:kern w:val="0"/>
          <w:sz w:val="32"/>
          <w:szCs w:val="32"/>
          <w:lang w:val="en-US" w:eastAsia="zh-CN" w:bidi="ar"/>
        </w:rPr>
        <w:t>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6"/>
        <w:gridCol w:w="1056"/>
        <w:gridCol w:w="1056"/>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支出项目</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基本支出</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项目支出</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工资福利支出</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254.39</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商品和服务支出</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22.88</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对个人和家庭的补助</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highlight w:val="none"/>
                <w:lang w:val="en-US" w:eastAsia="zh-CN" w:bidi="ar"/>
              </w:rPr>
              <w:t>24.42</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其他资本性支出</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 1105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0" w:type="auto"/>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合 计</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301.69</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 1105</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（二）年度收支决算情况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年度收入支出决算</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76"/>
        <w:gridCol w:w="1056"/>
        <w:gridCol w:w="1056"/>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4"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收入来源</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预算金额</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决算金额</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9"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财政拨款收入</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1426.69</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1898.07</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471.38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年初预算金额与决算金额相差471.38万元，</w:t>
      </w:r>
      <w:r>
        <w:rPr>
          <w:rFonts w:hint="eastAsia" w:ascii="仿宋" w:hAnsi="仿宋" w:eastAsia="仿宋" w:cs="仿宋"/>
          <w:i w:val="0"/>
          <w:iCs w:val="0"/>
          <w:caps w:val="0"/>
          <w:color w:val="1E1E1E"/>
          <w:spacing w:val="0"/>
          <w:kern w:val="0"/>
          <w:sz w:val="32"/>
          <w:szCs w:val="32"/>
          <w:highlight w:val="none"/>
          <w:lang w:val="en-US" w:eastAsia="zh-CN" w:bidi="ar"/>
        </w:rPr>
        <w:t>是因为单位使用了上级专项资金安排了项目支出，上级专项资金不在本级预算总数内，导致支出数比年初预算数大。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highlight w:val="none"/>
        </w:rPr>
      </w:pPr>
      <w:r>
        <w:rPr>
          <w:rFonts w:hint="eastAsia" w:ascii="仿宋" w:hAnsi="仿宋" w:eastAsia="仿宋" w:cs="仿宋"/>
          <w:b/>
          <w:bCs/>
          <w:i w:val="0"/>
          <w:iCs w:val="0"/>
          <w:caps w:val="0"/>
          <w:color w:val="1E1E1E"/>
          <w:spacing w:val="0"/>
          <w:kern w:val="0"/>
          <w:sz w:val="32"/>
          <w:szCs w:val="32"/>
          <w:highlight w:val="none"/>
          <w:lang w:val="en-US" w:eastAsia="zh-CN" w:bidi="ar"/>
        </w:rPr>
        <w:t>三、部门整体支出管理及使用情况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b/>
          <w:bCs/>
        </w:rPr>
      </w:pPr>
      <w:r>
        <w:rPr>
          <w:rFonts w:hint="eastAsia" w:ascii="仿宋" w:hAnsi="仿宋" w:eastAsia="仿宋" w:cs="仿宋"/>
          <w:b/>
          <w:bCs/>
          <w:i w:val="0"/>
          <w:iCs w:val="0"/>
          <w:caps w:val="0"/>
          <w:color w:val="1E1E1E"/>
          <w:spacing w:val="0"/>
          <w:sz w:val="32"/>
          <w:szCs w:val="32"/>
        </w:rPr>
        <w:t>（一）基本支出管理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eastAsia" w:ascii="仿宋" w:hAnsi="仿宋" w:eastAsia="仿宋" w:cs="仿宋"/>
          <w:b w:val="0"/>
          <w:bCs w:val="0"/>
          <w:i w:val="0"/>
          <w:iCs w:val="0"/>
          <w:caps w:val="0"/>
          <w:color w:val="1E1E1E"/>
          <w:spacing w:val="0"/>
          <w:sz w:val="32"/>
          <w:szCs w:val="32"/>
        </w:rPr>
        <w:t>1、基本支出总额使用和管理</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6"/>
        <w:gridCol w:w="1056"/>
        <w:gridCol w:w="1056"/>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1"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 预决算支出项目</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预算金额</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决算金额</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节约/超支金额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1"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工资福利支出</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254.39</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highlight w:val="none"/>
                <w:lang w:val="en-US"/>
              </w:rPr>
            </w:pPr>
            <w:r>
              <w:rPr>
                <w:rFonts w:hint="eastAsia" w:ascii="仿宋" w:hAnsi="仿宋" w:eastAsia="仿宋" w:cs="仿宋"/>
                <w:color w:val="000000"/>
                <w:kern w:val="0"/>
                <w:sz w:val="21"/>
                <w:szCs w:val="21"/>
                <w:highlight w:val="none"/>
                <w:lang w:val="en-US" w:eastAsia="zh-CN" w:bidi="ar"/>
              </w:rPr>
              <w:t>249.84</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highlight w:val="none"/>
                <w:lang w:val="en-US"/>
              </w:rPr>
            </w:pPr>
            <w:r>
              <w:rPr>
                <w:rFonts w:hint="eastAsia" w:ascii="仿宋" w:hAnsi="仿宋" w:eastAsia="仿宋" w:cs="仿宋"/>
                <w:color w:val="000000"/>
                <w:kern w:val="0"/>
                <w:sz w:val="21"/>
                <w:szCs w:val="21"/>
                <w:highlight w:val="none"/>
                <w:lang w:val="en-US" w:eastAsia="zh-CN" w:bidi="ar"/>
              </w:rPr>
              <w:t>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1"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商品和服务支出</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eastAsiaTheme="minorEastAsia"/>
                <w:lang w:val="en-US" w:eastAsia="zh-CN"/>
              </w:rPr>
            </w:pPr>
            <w:r>
              <w:rPr>
                <w:rFonts w:hint="eastAsia"/>
                <w:lang w:val="en-US" w:eastAsia="zh-CN"/>
              </w:rPr>
              <w:t>22.88</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highlight w:val="none"/>
                <w:lang w:val="en-US"/>
              </w:rPr>
            </w:pPr>
            <w:r>
              <w:rPr>
                <w:rFonts w:hint="eastAsia" w:ascii="仿宋" w:hAnsi="仿宋" w:eastAsia="仿宋" w:cs="仿宋"/>
                <w:color w:val="000000"/>
                <w:kern w:val="0"/>
                <w:sz w:val="21"/>
                <w:szCs w:val="21"/>
                <w:highlight w:val="none"/>
                <w:lang w:val="en-US" w:eastAsia="zh-CN" w:bidi="ar"/>
              </w:rPr>
              <w:t>21.70</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highlight w:val="none"/>
                <w:lang w:val="en-US"/>
              </w:rPr>
            </w:pPr>
            <w:r>
              <w:rPr>
                <w:rFonts w:hint="eastAsia" w:ascii="仿宋" w:hAnsi="仿宋" w:eastAsia="仿宋" w:cs="仿宋"/>
                <w:color w:val="000000"/>
                <w:kern w:val="0"/>
                <w:sz w:val="21"/>
                <w:szCs w:val="21"/>
                <w:highlight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1"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对个人和家庭的补助</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24.42</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highlight w:val="none"/>
                <w:lang w:val="en-US"/>
              </w:rPr>
            </w:pPr>
            <w:r>
              <w:rPr>
                <w:rFonts w:hint="eastAsia" w:ascii="仿宋" w:hAnsi="仿宋" w:eastAsia="仿宋" w:cs="仿宋"/>
                <w:color w:val="000000"/>
                <w:kern w:val="0"/>
                <w:sz w:val="21"/>
                <w:szCs w:val="21"/>
                <w:highlight w:val="none"/>
                <w:lang w:val="en-US" w:eastAsia="zh-CN" w:bidi="ar"/>
              </w:rPr>
              <w:t>35.91</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highlight w:val="none"/>
                <w:lang w:val="en-US"/>
              </w:rPr>
            </w:pPr>
            <w:r>
              <w:rPr>
                <w:rFonts w:hint="eastAsia" w:ascii="仿宋" w:hAnsi="仿宋" w:eastAsia="仿宋" w:cs="仿宋"/>
                <w:color w:val="000000"/>
                <w:kern w:val="0"/>
                <w:sz w:val="21"/>
                <w:szCs w:val="21"/>
                <w:highlight w:val="none"/>
                <w:lang w:val="en-US" w:eastAsia="zh-CN" w:bidi="ar"/>
              </w:rPr>
              <w:t>11.49（超支）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0" w:type="auto"/>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合计</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301.69</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307.45</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eastAsiaTheme="minorEastAsia"/>
                <w:lang w:val="en-US" w:eastAsia="zh-CN"/>
              </w:rPr>
            </w:pPr>
            <w:r>
              <w:rPr>
                <w:rFonts w:hint="eastAsia"/>
                <w:lang w:val="en-US" w:eastAsia="zh-CN"/>
              </w:rPr>
              <w:t>5.76</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2、基本支出中各费用明细支出管理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96" w:right="0" w:firstLine="160"/>
        <w:jc w:val="left"/>
      </w:pPr>
      <w:r>
        <w:rPr>
          <w:rFonts w:hint="eastAsia" w:ascii="仿宋" w:hAnsi="仿宋" w:eastAsia="仿宋" w:cs="仿宋"/>
          <w:i w:val="0"/>
          <w:iCs w:val="0"/>
          <w:caps w:val="0"/>
          <w:color w:val="1E1E1E"/>
          <w:spacing w:val="0"/>
          <w:kern w:val="0"/>
          <w:sz w:val="32"/>
          <w:szCs w:val="32"/>
          <w:lang w:val="en-US" w:eastAsia="zh-CN" w:bidi="ar"/>
        </w:rPr>
        <w:t>（1）工资福利支出</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90"/>
        <w:gridCol w:w="870"/>
        <w:gridCol w:w="870"/>
        <w:gridCol w:w="118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8"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费用项目</w:t>
            </w:r>
          </w:p>
        </w:tc>
        <w:tc>
          <w:tcPr>
            <w:tcW w:w="0" w:type="auto"/>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预算金额</w:t>
            </w:r>
          </w:p>
        </w:tc>
        <w:tc>
          <w:tcPr>
            <w:tcW w:w="0" w:type="auto"/>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决算金额</w:t>
            </w:r>
          </w:p>
        </w:tc>
        <w:tc>
          <w:tcPr>
            <w:tcW w:w="0" w:type="auto"/>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节约/支金额</w:t>
            </w:r>
          </w:p>
        </w:tc>
        <w:tc>
          <w:tcPr>
            <w:tcW w:w="0" w:type="auto"/>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节约/超支率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jc w:val="center"/>
        </w:trPr>
        <w:tc>
          <w:tcPr>
            <w:tcW w:w="0" w:type="auto"/>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基本工资</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100.54</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100.63</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0.09 </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jc w:val="center"/>
        </w:trPr>
        <w:tc>
          <w:tcPr>
            <w:tcW w:w="0" w:type="auto"/>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津贴补贴</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20.43</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21.44</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 1.01</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4.94% 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jc w:val="center"/>
        </w:trPr>
        <w:tc>
          <w:tcPr>
            <w:tcW w:w="0" w:type="auto"/>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奖金</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1.31</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0.96</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0.35 </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26.72% 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jc w:val="center"/>
        </w:trPr>
        <w:tc>
          <w:tcPr>
            <w:tcW w:w="0" w:type="auto"/>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绩效工资</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57.88</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eastAsiaTheme="minorEastAsia"/>
                <w:lang w:val="en-US" w:eastAsia="zh-CN"/>
              </w:rPr>
            </w:pPr>
            <w:r>
              <w:rPr>
                <w:rFonts w:hint="eastAsia"/>
                <w:lang w:val="en-US" w:eastAsia="zh-CN"/>
              </w:rPr>
              <w:t>57.59</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 0.29</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jc w:val="center"/>
        </w:trPr>
        <w:tc>
          <w:tcPr>
            <w:tcW w:w="0" w:type="auto"/>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18"/>
                <w:szCs w:val="18"/>
                <w:lang w:val="en-US" w:eastAsia="zh-CN" w:bidi="ar"/>
              </w:rPr>
              <w:t>社会保障缴费和住房公积金</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74.23</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69.22</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 5.01</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6.75% 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1" w:hRule="atLeast"/>
          <w:jc w:val="center"/>
        </w:trPr>
        <w:tc>
          <w:tcPr>
            <w:tcW w:w="0" w:type="auto"/>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合计</w:t>
            </w:r>
          </w:p>
        </w:tc>
        <w:tc>
          <w:tcPr>
            <w:tcW w:w="0" w:type="auto"/>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254.39</w:t>
            </w:r>
          </w:p>
        </w:tc>
        <w:tc>
          <w:tcPr>
            <w:tcW w:w="0" w:type="auto"/>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249.79</w:t>
            </w:r>
          </w:p>
        </w:tc>
        <w:tc>
          <w:tcPr>
            <w:tcW w:w="0" w:type="auto"/>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 4.6</w:t>
            </w:r>
          </w:p>
        </w:tc>
        <w:tc>
          <w:tcPr>
            <w:tcW w:w="0" w:type="auto"/>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2021年因为有新的人员调动、新进人员以及退休人员，所以各项支出和年初预算相比均有出入。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（2）商品和服务支出 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6"/>
        <w:gridCol w:w="1056"/>
        <w:gridCol w:w="1056"/>
        <w:gridCol w:w="846"/>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支出项目</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预算金额</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决算金额</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增减额</w:t>
            </w:r>
          </w:p>
        </w:tc>
        <w:tc>
          <w:tcPr>
            <w:tcW w:w="0" w:type="auto"/>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增减率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办公费</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6.7</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6.7</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电费</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yellow"/>
              </w:rPr>
            </w:pPr>
            <w:r>
              <w:rPr>
                <w:rFonts w:hint="eastAsia" w:ascii="仿宋" w:hAnsi="仿宋" w:eastAsia="仿宋" w:cs="仿宋"/>
                <w:color w:val="010101"/>
                <w:kern w:val="0"/>
                <w:sz w:val="21"/>
                <w:szCs w:val="21"/>
                <w:highlight w:val="none"/>
                <w:lang w:val="en-US" w:eastAsia="zh-CN" w:bidi="ar"/>
              </w:rPr>
              <w:t>4</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yellow"/>
              </w:rPr>
            </w:pPr>
            <w:r>
              <w:rPr>
                <w:rFonts w:hint="eastAsia" w:ascii="仿宋" w:hAnsi="仿宋" w:eastAsia="仿宋" w:cs="仿宋"/>
                <w:color w:val="010101"/>
                <w:kern w:val="0"/>
                <w:sz w:val="21"/>
                <w:szCs w:val="21"/>
                <w:highlight w:val="none"/>
                <w:lang w:val="en-US" w:eastAsia="zh-CN" w:bidi="ar"/>
              </w:rPr>
              <w:t>4</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公务用车运行维护费</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1.5</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1.43</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福利费</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5.61</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4.81</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工会经费</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1.92</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1.61</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0" w:type="auto"/>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其他交通费用</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3.15</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3.15</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jc w:val="center"/>
        </w:trPr>
        <w:tc>
          <w:tcPr>
            <w:tcW w:w="0" w:type="auto"/>
            <w:tcBorders>
              <w:top w:val="nil"/>
              <w:left w:val="single" w:color="auto" w:sz="8" w:space="0"/>
              <w:bottom w:val="nil"/>
              <w:right w:val="single" w:color="auto" w:sz="8" w:space="0"/>
            </w:tcBorders>
            <w:shd w:val="clear" w:color="auto" w:fill="C0C0C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合计</w:t>
            </w:r>
          </w:p>
        </w:tc>
        <w:tc>
          <w:tcPr>
            <w:tcW w:w="0" w:type="auto"/>
            <w:tcBorders>
              <w:top w:val="nil"/>
              <w:left w:val="nil"/>
              <w:bottom w:val="nil"/>
              <w:right w:val="single" w:color="auto" w:sz="8" w:space="0"/>
            </w:tcBorders>
            <w:shd w:val="clear" w:color="auto" w:fill="C0C0C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22.88</w:t>
            </w:r>
          </w:p>
        </w:tc>
        <w:tc>
          <w:tcPr>
            <w:tcW w:w="0" w:type="auto"/>
            <w:tcBorders>
              <w:top w:val="nil"/>
              <w:left w:val="nil"/>
              <w:bottom w:val="nil"/>
              <w:right w:val="single" w:color="auto" w:sz="8" w:space="0"/>
            </w:tcBorders>
            <w:shd w:val="clear" w:color="auto" w:fill="C0C0C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21.7</w:t>
            </w:r>
          </w:p>
        </w:tc>
        <w:tc>
          <w:tcPr>
            <w:tcW w:w="0" w:type="auto"/>
            <w:tcBorders>
              <w:top w:val="nil"/>
              <w:left w:val="nil"/>
              <w:bottom w:val="nil"/>
              <w:right w:val="single" w:color="auto" w:sz="8" w:space="0"/>
            </w:tcBorders>
            <w:shd w:val="clear" w:color="auto" w:fill="C0C0C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1.18</w:t>
            </w:r>
          </w:p>
        </w:tc>
        <w:tc>
          <w:tcPr>
            <w:tcW w:w="0" w:type="auto"/>
            <w:tcBorders>
              <w:top w:val="nil"/>
              <w:left w:val="nil"/>
              <w:bottom w:val="nil"/>
              <w:right w:val="single" w:color="auto" w:sz="8" w:space="0"/>
            </w:tcBorders>
            <w:shd w:val="clear" w:color="auto" w:fill="C0C0C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 5.1%</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left"/>
      </w:pPr>
      <w:r>
        <w:rPr>
          <w:rFonts w:hint="eastAsia" w:ascii="仿宋" w:hAnsi="仿宋" w:eastAsia="仿宋" w:cs="仿宋"/>
          <w:i w:val="0"/>
          <w:iCs w:val="0"/>
          <w:caps w:val="0"/>
          <w:color w:val="1E1E1E"/>
          <w:spacing w:val="0"/>
          <w:kern w:val="0"/>
          <w:sz w:val="32"/>
          <w:szCs w:val="32"/>
          <w:lang w:val="en-US" w:eastAsia="zh-CN" w:bidi="ar"/>
        </w:rPr>
        <w:t>（3）个人和家庭的补助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left"/>
      </w:pPr>
      <w:r>
        <w:rPr>
          <w:rFonts w:hint="eastAsia" w:ascii="仿宋" w:hAnsi="仿宋" w:eastAsia="仿宋" w:cs="仿宋"/>
          <w:i w:val="0"/>
          <w:iCs w:val="0"/>
          <w:caps w:val="0"/>
          <w:color w:val="1E1E1E"/>
          <w:spacing w:val="0"/>
          <w:kern w:val="0"/>
          <w:sz w:val="32"/>
          <w:szCs w:val="32"/>
          <w:lang w:val="en-US" w:eastAsia="zh-CN" w:bidi="ar"/>
        </w:rPr>
        <w:t> </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60"/>
        <w:gridCol w:w="870"/>
        <w:gridCol w:w="870"/>
        <w:gridCol w:w="139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4" w:hRule="atLeast"/>
        </w:trPr>
        <w:tc>
          <w:tcPr>
            <w:tcW w:w="0" w:type="auto"/>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支出项目</w:t>
            </w:r>
          </w:p>
        </w:tc>
        <w:tc>
          <w:tcPr>
            <w:tcW w:w="0" w:type="auto"/>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预算金额</w:t>
            </w:r>
          </w:p>
        </w:tc>
        <w:tc>
          <w:tcPr>
            <w:tcW w:w="0" w:type="auto"/>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决算金额</w:t>
            </w:r>
          </w:p>
        </w:tc>
        <w:tc>
          <w:tcPr>
            <w:tcW w:w="0" w:type="auto"/>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结余/超支金额</w:t>
            </w:r>
          </w:p>
        </w:tc>
        <w:tc>
          <w:tcPr>
            <w:tcW w:w="0" w:type="auto"/>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结余/超支率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0" w:type="auto"/>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退休费</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19.71</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19.71</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0" w:type="auto"/>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生活补助</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4.7</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6.49</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0" w:type="auto"/>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奖励金</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9.7</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6" w:hRule="atLeast"/>
        </w:trPr>
        <w:tc>
          <w:tcPr>
            <w:tcW w:w="0" w:type="auto"/>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其他对个人和家庭的补助支出</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0.01</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0.004</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0" w:type="auto"/>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合计</w:t>
            </w:r>
          </w:p>
        </w:tc>
        <w:tc>
          <w:tcPr>
            <w:tcW w:w="0" w:type="auto"/>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24.42</w:t>
            </w:r>
          </w:p>
        </w:tc>
        <w:tc>
          <w:tcPr>
            <w:tcW w:w="0" w:type="auto"/>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36.16</w:t>
            </w:r>
          </w:p>
        </w:tc>
        <w:tc>
          <w:tcPr>
            <w:tcW w:w="0" w:type="auto"/>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 11.74</w:t>
            </w:r>
          </w:p>
        </w:tc>
        <w:tc>
          <w:tcPr>
            <w:tcW w:w="0" w:type="auto"/>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48.09% 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160"/>
        <w:jc w:val="left"/>
        <w:rPr>
          <w:b/>
          <w:bCs/>
          <w:highlight w:val="none"/>
        </w:rPr>
      </w:pPr>
      <w:r>
        <w:rPr>
          <w:rFonts w:hint="eastAsia" w:ascii="仿宋" w:hAnsi="仿宋" w:eastAsia="仿宋" w:cs="仿宋"/>
          <w:b/>
          <w:bCs/>
          <w:i w:val="0"/>
          <w:iCs w:val="0"/>
          <w:caps w:val="0"/>
          <w:color w:val="1E1E1E"/>
          <w:spacing w:val="0"/>
          <w:kern w:val="0"/>
          <w:sz w:val="32"/>
          <w:szCs w:val="32"/>
          <w:highlight w:val="none"/>
          <w:lang w:val="en-US" w:eastAsia="zh-CN" w:bidi="ar"/>
        </w:rPr>
        <w:t>（二）“三公经费”支出使用和管理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left"/>
      </w:pPr>
      <w:r>
        <w:rPr>
          <w:rFonts w:hint="eastAsia" w:ascii="仿宋" w:hAnsi="仿宋" w:eastAsia="仿宋" w:cs="仿宋"/>
          <w:i w:val="0"/>
          <w:iCs w:val="0"/>
          <w:caps w:val="0"/>
          <w:color w:val="1E1E1E"/>
          <w:spacing w:val="0"/>
          <w:kern w:val="0"/>
          <w:sz w:val="32"/>
          <w:szCs w:val="32"/>
          <w:lang w:val="en-US" w:eastAsia="zh-CN" w:bidi="ar"/>
        </w:rPr>
        <w:t>1、“三公经费”预算执行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left"/>
      </w:pPr>
      <w:r>
        <w:rPr>
          <w:rFonts w:hint="eastAsia" w:ascii="仿宋" w:hAnsi="仿宋" w:eastAsia="仿宋" w:cs="仿宋"/>
          <w:i w:val="0"/>
          <w:iCs w:val="0"/>
          <w:caps w:val="0"/>
          <w:color w:val="1E1E1E"/>
          <w:spacing w:val="0"/>
          <w:kern w:val="0"/>
          <w:sz w:val="32"/>
          <w:szCs w:val="32"/>
          <w:lang w:val="en-US" w:eastAsia="zh-CN" w:bidi="ar"/>
        </w:rPr>
        <w:t>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00"/>
        <w:gridCol w:w="870"/>
        <w:gridCol w:w="870"/>
        <w:gridCol w:w="870"/>
        <w:gridCol w:w="870"/>
        <w:gridCol w:w="87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4"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费用项目</w:t>
            </w:r>
          </w:p>
        </w:tc>
        <w:tc>
          <w:tcPr>
            <w:tcW w:w="0" w:type="auto"/>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本年预算</w:t>
            </w:r>
          </w:p>
        </w:tc>
        <w:tc>
          <w:tcPr>
            <w:tcW w:w="0" w:type="auto"/>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本年决算</w:t>
            </w:r>
          </w:p>
        </w:tc>
        <w:tc>
          <w:tcPr>
            <w:tcW w:w="0" w:type="auto"/>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结余/超支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基本支出</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项目支出</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基本支出</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项目支出</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基本支出</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4" w:hRule="atLeast"/>
          <w:jc w:val="center"/>
        </w:trPr>
        <w:tc>
          <w:tcPr>
            <w:tcW w:w="0" w:type="auto"/>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公务接待费</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0.2</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yellow"/>
              </w:rPr>
            </w:pP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yellow"/>
              </w:rPr>
            </w:pPr>
            <w:r>
              <w:rPr>
                <w:rFonts w:hint="eastAsia" w:ascii="仿宋" w:hAnsi="仿宋" w:eastAsia="仿宋" w:cs="仿宋"/>
                <w:color w:val="010101"/>
                <w:kern w:val="0"/>
                <w:sz w:val="21"/>
                <w:szCs w:val="21"/>
                <w:highlight w:val="none"/>
                <w:lang w:val="en-US" w:eastAsia="zh-CN" w:bidi="ar"/>
              </w:rPr>
              <w:t>0</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jc w:val="center"/>
        </w:trPr>
        <w:tc>
          <w:tcPr>
            <w:tcW w:w="0" w:type="auto"/>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公车运行维护费</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1.5</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yellow"/>
              </w:rPr>
            </w:pPr>
            <w:r>
              <w:rPr>
                <w:rFonts w:hint="eastAsia" w:ascii="仿宋" w:hAnsi="仿宋" w:eastAsia="仿宋" w:cs="仿宋"/>
                <w:color w:val="010101"/>
                <w:kern w:val="0"/>
                <w:sz w:val="21"/>
                <w:szCs w:val="21"/>
                <w:highlight w:val="none"/>
                <w:lang w:val="en-US" w:eastAsia="zh-CN" w:bidi="ar"/>
              </w:rPr>
              <w:t>7</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1.43</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6.35</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 0.07</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 w:hRule="atLeast"/>
          <w:jc w:val="center"/>
        </w:trPr>
        <w:tc>
          <w:tcPr>
            <w:tcW w:w="0" w:type="auto"/>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公务车购置费</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4" w:hRule="atLeast"/>
          <w:jc w:val="center"/>
        </w:trPr>
        <w:tc>
          <w:tcPr>
            <w:tcW w:w="0" w:type="auto"/>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因公出国费用</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9" w:hRule="atLeast"/>
          <w:jc w:val="center"/>
        </w:trPr>
        <w:tc>
          <w:tcPr>
            <w:tcW w:w="0" w:type="auto"/>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合计</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1.5</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7.2</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1.43</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 6.35</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 0.07</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0.85 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left"/>
      </w:pPr>
      <w:r>
        <w:rPr>
          <w:rFonts w:hint="eastAsia" w:ascii="仿宋" w:hAnsi="仿宋" w:eastAsia="仿宋" w:cs="仿宋"/>
          <w:i w:val="0"/>
          <w:iCs w:val="0"/>
          <w:caps w:val="0"/>
          <w:color w:val="1E1E1E"/>
          <w:spacing w:val="0"/>
          <w:kern w:val="0"/>
          <w:sz w:val="32"/>
          <w:szCs w:val="32"/>
          <w:lang w:val="en-US" w:eastAsia="zh-CN" w:bidi="ar"/>
        </w:rPr>
        <w:t>2、“三公经费”与上年度比较</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10"/>
        <w:gridCol w:w="870"/>
        <w:gridCol w:w="870"/>
        <w:gridCol w:w="660"/>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1"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费用项目</w:t>
            </w:r>
          </w:p>
        </w:tc>
        <w:tc>
          <w:tcPr>
            <w:tcW w:w="0" w:type="auto"/>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本年金额</w:t>
            </w:r>
          </w:p>
        </w:tc>
        <w:tc>
          <w:tcPr>
            <w:tcW w:w="0" w:type="auto"/>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上年金额</w:t>
            </w:r>
          </w:p>
        </w:tc>
        <w:tc>
          <w:tcPr>
            <w:tcW w:w="0" w:type="auto"/>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增减额</w:t>
            </w:r>
          </w:p>
        </w:tc>
        <w:tc>
          <w:tcPr>
            <w:tcW w:w="0" w:type="auto"/>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增减率%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0" w:type="auto"/>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公务接待费</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0</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0</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0</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0" w:type="auto"/>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公车运行维护费</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7.78</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6.12</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1.62 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26.47%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0" w:type="auto"/>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公务车辆购置费</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0</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0</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0" w:type="auto"/>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因公出国(境)费用</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0</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0</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c>
          <w:tcPr>
            <w:tcW w:w="0" w:type="auto"/>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0" w:type="auto"/>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合计</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yellow"/>
                <w:lang w:val="en-US"/>
              </w:rPr>
            </w:pPr>
            <w:r>
              <w:rPr>
                <w:rFonts w:hint="eastAsia" w:ascii="仿宋" w:hAnsi="仿宋" w:eastAsia="仿宋" w:cs="仿宋"/>
                <w:color w:val="010101"/>
                <w:kern w:val="0"/>
                <w:sz w:val="21"/>
                <w:szCs w:val="21"/>
                <w:highlight w:val="none"/>
                <w:lang w:val="en-US" w:eastAsia="zh-CN" w:bidi="ar"/>
              </w:rPr>
              <w:t>7.78</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6.12</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1.62</w:t>
            </w:r>
          </w:p>
        </w:tc>
        <w:tc>
          <w:tcPr>
            <w:tcW w:w="0" w:type="auto"/>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26.47%</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default"/>
          <w:lang w:val="en-US"/>
        </w:rPr>
      </w:pPr>
      <w:r>
        <w:rPr>
          <w:rFonts w:hint="eastAsia" w:ascii="仿宋" w:hAnsi="仿宋" w:eastAsia="仿宋" w:cs="仿宋"/>
          <w:i w:val="0"/>
          <w:iCs w:val="0"/>
          <w:caps w:val="0"/>
          <w:color w:val="1E1E1E"/>
          <w:spacing w:val="0"/>
          <w:kern w:val="0"/>
          <w:sz w:val="32"/>
          <w:szCs w:val="32"/>
          <w:lang w:val="en-US" w:eastAsia="zh-CN" w:bidi="ar"/>
        </w:rPr>
        <w:t>和去年相比，我局全年三公经费总额同比增加1.62万，同比增加26.47%，原因是疫情期间执法力度加强，工作量增加。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left"/>
        <w:rPr>
          <w:b/>
          <w:bCs/>
        </w:rPr>
      </w:pPr>
      <w:r>
        <w:rPr>
          <w:rFonts w:hint="eastAsia" w:ascii="仿宋" w:hAnsi="仿宋" w:eastAsia="仿宋" w:cs="仿宋"/>
          <w:b/>
          <w:bCs/>
          <w:i w:val="0"/>
          <w:iCs w:val="0"/>
          <w:caps w:val="0"/>
          <w:color w:val="1E1E1E"/>
          <w:spacing w:val="0"/>
          <w:kern w:val="0"/>
          <w:sz w:val="32"/>
          <w:szCs w:val="32"/>
          <w:lang w:val="en-US" w:eastAsia="zh-CN" w:bidi="ar"/>
        </w:rPr>
        <w:t>（三）专项支出管理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rFonts w:hint="eastAsia" w:ascii="仿宋" w:hAnsi="仿宋" w:eastAsia="仿宋" w:cs="仿宋"/>
          <w:i w:val="0"/>
          <w:iCs w:val="0"/>
          <w:caps w:val="0"/>
          <w:color w:val="1E1E1E"/>
          <w:spacing w:val="0"/>
          <w:kern w:val="0"/>
          <w:sz w:val="32"/>
          <w:szCs w:val="32"/>
          <w:lang w:val="en-US" w:eastAsia="zh-CN" w:bidi="ar"/>
        </w:rPr>
      </w:pPr>
      <w:r>
        <w:rPr>
          <w:rFonts w:hint="eastAsia" w:ascii="仿宋" w:hAnsi="仿宋" w:eastAsia="仿宋" w:cs="仿宋"/>
          <w:i w:val="0"/>
          <w:iCs w:val="0"/>
          <w:caps w:val="0"/>
          <w:color w:val="1E1E1E"/>
          <w:spacing w:val="0"/>
          <w:kern w:val="0"/>
          <w:sz w:val="32"/>
          <w:szCs w:val="32"/>
          <w:lang w:val="en-US" w:eastAsia="zh-CN" w:bidi="ar"/>
        </w:rPr>
        <w:t>1、专项资金预算执行</w:t>
      </w:r>
    </w:p>
    <w:p>
      <w:pPr>
        <w:pStyle w:val="2"/>
        <w:rPr>
          <w:rFonts w:hint="eastAsia" w:ascii="仿宋" w:hAnsi="仿宋" w:eastAsia="仿宋" w:cs="仿宋"/>
          <w:i w:val="0"/>
          <w:iCs w:val="0"/>
          <w:caps w:val="0"/>
          <w:color w:val="1E1E1E"/>
          <w:spacing w:val="0"/>
          <w:kern w:val="0"/>
          <w:sz w:val="32"/>
          <w:szCs w:val="32"/>
          <w:lang w:val="en-US" w:eastAsia="zh-CN" w:bidi="ar"/>
        </w:rPr>
      </w:pPr>
    </w:p>
    <w:p>
      <w:pPr>
        <w:pStyle w:val="3"/>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10"/>
        <w:gridCol w:w="870"/>
        <w:gridCol w:w="870"/>
        <w:gridCol w:w="765"/>
        <w:gridCol w:w="1290"/>
        <w:gridCol w:w="87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5" w:hRule="atLeast"/>
        </w:trPr>
        <w:tc>
          <w:tcPr>
            <w:tcW w:w="0" w:type="auto"/>
            <w:vMerge w:val="restart"/>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专项子目名称</w:t>
            </w:r>
          </w:p>
        </w:tc>
        <w:tc>
          <w:tcPr>
            <w:tcW w:w="0" w:type="auto"/>
            <w:gridSpan w:val="3"/>
            <w:tcBorders>
              <w:top w:val="single" w:color="auto" w:sz="12"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本年可用指标</w:t>
            </w:r>
          </w:p>
        </w:tc>
        <w:tc>
          <w:tcPr>
            <w:tcW w:w="0" w:type="auto"/>
            <w:tcBorders>
              <w:top w:val="single" w:color="auto" w:sz="12"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本年实际支出</w:t>
            </w:r>
          </w:p>
        </w:tc>
        <w:tc>
          <w:tcPr>
            <w:tcW w:w="0" w:type="auto"/>
            <w:tcBorders>
              <w:top w:val="single" w:color="auto" w:sz="12"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本年结余</w:t>
            </w:r>
          </w:p>
        </w:tc>
        <w:tc>
          <w:tcPr>
            <w:tcW w:w="0" w:type="auto"/>
            <w:tcBorders>
              <w:top w:val="single" w:color="auto" w:sz="12" w:space="0"/>
              <w:left w:val="nil"/>
              <w:bottom w:val="single" w:color="auto" w:sz="8" w:space="0"/>
              <w:right w:val="single" w:color="auto" w:sz="12"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投入进度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trPr>
        <w:tc>
          <w:tcPr>
            <w:tcW w:w="0" w:type="auto"/>
            <w:vMerge w:val="continue"/>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合计</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本年下达</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上年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eastAsia" w:ascii="仿宋" w:hAnsi="仿宋" w:eastAsia="仿宋" w:cs="仿宋"/>
                <w:color w:val="010101"/>
                <w:kern w:val="0"/>
                <w:sz w:val="21"/>
                <w:szCs w:val="21"/>
                <w:lang w:val="en-US" w:eastAsia="zh-CN" w:bidi="ar"/>
              </w:rPr>
            </w:pPr>
            <w:r>
              <w:rPr>
                <w:rFonts w:hint="eastAsia" w:ascii="仿宋" w:hAnsi="仿宋" w:eastAsia="仿宋" w:cs="仿宋"/>
                <w:color w:val="010101"/>
                <w:kern w:val="0"/>
                <w:sz w:val="21"/>
                <w:szCs w:val="21"/>
                <w:lang w:val="en-US" w:eastAsia="zh-CN" w:bidi="ar"/>
              </w:rPr>
              <w:t>结余</w:t>
            </w:r>
          </w:p>
        </w:tc>
        <w:tc>
          <w:tcPr>
            <w:tcW w:w="0" w:type="auto"/>
            <w:tcBorders>
              <w:top w:val="single" w:color="auto" w:sz="12" w:space="0"/>
              <w:left w:val="nil"/>
              <w:bottom w:val="single" w:color="auto" w:sz="4" w:space="0"/>
              <w:right w:val="single" w:color="auto"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0" w:type="auto"/>
            <w:tcBorders>
              <w:top w:val="single" w:color="auto" w:sz="12" w:space="0"/>
              <w:left w:val="nil"/>
              <w:bottom w:val="single" w:color="auto" w:sz="4" w:space="0"/>
              <w:right w:val="single" w:color="auto" w:sz="8" w:space="0"/>
            </w:tcBorders>
            <w:shd w:val="clear" w:color="auto" w:fill="auto"/>
            <w:tcMar>
              <w:top w:w="15" w:type="dxa"/>
              <w:left w:w="15" w:type="dxa"/>
              <w:bottom w:w="15" w:type="dxa"/>
              <w:right w:w="15" w:type="dxa"/>
            </w:tcMar>
            <w:vAlign w:val="center"/>
          </w:tcPr>
          <w:p>
            <w:pPr>
              <w:rPr>
                <w:rFonts w:hint="eastAsia" w:ascii="宋体"/>
                <w:sz w:val="24"/>
                <w:szCs w:val="24"/>
              </w:rPr>
            </w:pPr>
          </w:p>
        </w:tc>
        <w:tc>
          <w:tcPr>
            <w:tcW w:w="0" w:type="auto"/>
            <w:tcBorders>
              <w:top w:val="single" w:color="auto" w:sz="12" w:space="0"/>
              <w:left w:val="nil"/>
              <w:bottom w:val="single" w:color="auto" w:sz="4" w:space="0"/>
              <w:right w:val="single" w:color="auto" w:sz="12" w:space="0"/>
            </w:tcBorders>
            <w:shd w:val="clear" w:color="auto" w:fill="auto"/>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0" w:type="auto"/>
            <w:tcBorders>
              <w:top w:val="nil"/>
              <w:left w:val="single" w:color="auto" w:sz="12"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上级下达专项经费</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1094.81</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786.2</w:t>
            </w:r>
          </w:p>
        </w:tc>
        <w:tc>
          <w:tcPr>
            <w:tcW w:w="0" w:type="auto"/>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both"/>
              <w:rPr>
                <w:highlight w:val="none"/>
              </w:rPr>
            </w:pPr>
            <w:r>
              <w:rPr>
                <w:rFonts w:hint="eastAsia" w:ascii="仿宋" w:hAnsi="仿宋" w:eastAsia="仿宋" w:cs="仿宋"/>
                <w:color w:val="010101"/>
                <w:kern w:val="0"/>
                <w:sz w:val="21"/>
                <w:szCs w:val="21"/>
                <w:highlight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both"/>
              <w:rPr>
                <w:rFonts w:hint="default"/>
                <w:highlight w:val="none"/>
                <w:lang w:val="en-US"/>
              </w:rPr>
            </w:pPr>
            <w:r>
              <w:rPr>
                <w:rFonts w:hint="eastAsia" w:ascii="仿宋" w:hAnsi="仿宋" w:eastAsia="仿宋" w:cs="仿宋"/>
                <w:color w:val="010101"/>
                <w:kern w:val="0"/>
                <w:sz w:val="21"/>
                <w:szCs w:val="21"/>
                <w:highlight w:val="none"/>
                <w:lang w:val="en-US" w:eastAsia="zh-CN" w:bidi="ar"/>
              </w:rPr>
              <w:t>308.61</w:t>
            </w:r>
          </w:p>
        </w:tc>
        <w:tc>
          <w:tcPr>
            <w:tcW w:w="0" w:type="auto"/>
            <w:tcBorders>
              <w:top w:val="single" w:color="auto" w:sz="4"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701.53</w:t>
            </w:r>
          </w:p>
        </w:tc>
        <w:tc>
          <w:tcPr>
            <w:tcW w:w="0" w:type="auto"/>
            <w:tcBorders>
              <w:top w:val="single" w:color="auto" w:sz="4"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393.28</w:t>
            </w:r>
          </w:p>
        </w:tc>
        <w:tc>
          <w:tcPr>
            <w:tcW w:w="0" w:type="auto"/>
            <w:tcBorders>
              <w:top w:val="single" w:color="auto" w:sz="4" w:space="0"/>
              <w:left w:val="nil"/>
              <w:bottom w:val="single" w:color="auto" w:sz="8" w:space="0"/>
              <w:right w:val="single" w:color="auto" w:sz="12"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0" w:type="auto"/>
            <w:tcBorders>
              <w:top w:val="nil"/>
              <w:left w:val="single" w:color="auto" w:sz="12" w:space="0"/>
              <w:bottom w:val="nil"/>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合 计</w:t>
            </w:r>
          </w:p>
        </w:tc>
        <w:tc>
          <w:tcPr>
            <w:tcW w:w="0" w:type="auto"/>
            <w:tcBorders>
              <w:top w:val="nil"/>
              <w:left w:val="nil"/>
              <w:bottom w:val="nil"/>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 1094.81</w:t>
            </w:r>
          </w:p>
        </w:tc>
        <w:tc>
          <w:tcPr>
            <w:tcW w:w="0" w:type="auto"/>
            <w:tcBorders>
              <w:top w:val="nil"/>
              <w:left w:val="nil"/>
              <w:bottom w:val="nil"/>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786.2</w:t>
            </w:r>
          </w:p>
        </w:tc>
        <w:tc>
          <w:tcPr>
            <w:tcW w:w="0" w:type="auto"/>
            <w:tcBorders>
              <w:top w:val="nil"/>
              <w:left w:val="nil"/>
              <w:bottom w:val="nil"/>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both"/>
              <w:rPr>
                <w:highlight w:val="none"/>
              </w:rPr>
            </w:pPr>
            <w:r>
              <w:rPr>
                <w:rFonts w:hint="eastAsia" w:ascii="仿宋" w:hAnsi="仿宋" w:eastAsia="仿宋" w:cs="仿宋"/>
                <w:color w:val="010101"/>
                <w:kern w:val="0"/>
                <w:sz w:val="21"/>
                <w:szCs w:val="21"/>
                <w:highlight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both"/>
              <w:rPr>
                <w:highlight w:val="none"/>
              </w:rPr>
            </w:pPr>
            <w:r>
              <w:rPr>
                <w:rFonts w:hint="eastAsia" w:ascii="仿宋" w:hAnsi="仿宋" w:eastAsia="仿宋" w:cs="仿宋"/>
                <w:color w:val="010101"/>
                <w:kern w:val="0"/>
                <w:sz w:val="21"/>
                <w:szCs w:val="21"/>
                <w:highlight w:val="none"/>
                <w:lang w:val="en-US" w:eastAsia="zh-CN" w:bidi="ar"/>
              </w:rPr>
              <w:t> 308.61</w:t>
            </w:r>
          </w:p>
        </w:tc>
        <w:tc>
          <w:tcPr>
            <w:tcW w:w="0" w:type="auto"/>
            <w:tcBorders>
              <w:top w:val="nil"/>
              <w:left w:val="nil"/>
              <w:bottom w:val="nil"/>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701.53</w:t>
            </w:r>
          </w:p>
        </w:tc>
        <w:tc>
          <w:tcPr>
            <w:tcW w:w="0" w:type="auto"/>
            <w:tcBorders>
              <w:top w:val="nil"/>
              <w:left w:val="nil"/>
              <w:bottom w:val="nil"/>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highlight w:val="none"/>
                <w:lang w:val="en-US"/>
              </w:rPr>
            </w:pPr>
            <w:r>
              <w:rPr>
                <w:rFonts w:hint="eastAsia" w:ascii="仿宋" w:hAnsi="仿宋" w:eastAsia="仿宋" w:cs="仿宋"/>
                <w:color w:val="010101"/>
                <w:kern w:val="0"/>
                <w:sz w:val="21"/>
                <w:szCs w:val="21"/>
                <w:highlight w:val="none"/>
                <w:lang w:val="en-US" w:eastAsia="zh-CN" w:bidi="ar"/>
              </w:rPr>
              <w:t>393.28</w:t>
            </w:r>
          </w:p>
        </w:tc>
        <w:tc>
          <w:tcPr>
            <w:tcW w:w="0" w:type="auto"/>
            <w:tcBorders>
              <w:top w:val="nil"/>
              <w:left w:val="nil"/>
              <w:bottom w:val="nil"/>
              <w:right w:val="single" w:color="auto" w:sz="12"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highlight w:val="none"/>
              </w:rPr>
            </w:pPr>
            <w:r>
              <w:rPr>
                <w:rFonts w:hint="eastAsia" w:ascii="仿宋" w:hAnsi="仿宋" w:eastAsia="仿宋" w:cs="仿宋"/>
                <w:color w:val="010101"/>
                <w:kern w:val="0"/>
                <w:sz w:val="21"/>
                <w:szCs w:val="21"/>
                <w:highlight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0" w:type="auto"/>
            <w:tcBorders>
              <w:top w:val="nil"/>
              <w:left w:val="single" w:color="auto" w:sz="12" w:space="0"/>
              <w:bottom w:val="single" w:color="auto" w:sz="12"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eastAsia" w:ascii="仿宋" w:hAnsi="仿宋" w:eastAsia="仿宋" w:cs="仿宋"/>
                <w:color w:val="010101"/>
                <w:kern w:val="0"/>
                <w:sz w:val="21"/>
                <w:szCs w:val="21"/>
                <w:lang w:val="en-US" w:eastAsia="zh-CN" w:bidi="ar"/>
              </w:rPr>
            </w:pPr>
          </w:p>
        </w:tc>
        <w:tc>
          <w:tcPr>
            <w:tcW w:w="0" w:type="auto"/>
            <w:tcBorders>
              <w:top w:val="nil"/>
              <w:left w:val="nil"/>
              <w:bottom w:val="single" w:color="auto" w:sz="12"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eastAsia" w:ascii="仿宋" w:hAnsi="仿宋" w:eastAsia="仿宋" w:cs="仿宋"/>
                <w:color w:val="010101"/>
                <w:kern w:val="0"/>
                <w:sz w:val="21"/>
                <w:szCs w:val="21"/>
                <w:highlight w:val="yellow"/>
                <w:lang w:val="en-US" w:eastAsia="zh-CN" w:bidi="ar"/>
              </w:rPr>
            </w:pPr>
          </w:p>
        </w:tc>
        <w:tc>
          <w:tcPr>
            <w:tcW w:w="0" w:type="auto"/>
            <w:tcBorders>
              <w:top w:val="nil"/>
              <w:left w:val="nil"/>
              <w:bottom w:val="single" w:color="auto" w:sz="12"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eastAsia" w:ascii="仿宋" w:hAnsi="仿宋" w:eastAsia="仿宋" w:cs="仿宋"/>
                <w:color w:val="010101"/>
                <w:kern w:val="0"/>
                <w:sz w:val="21"/>
                <w:szCs w:val="21"/>
                <w:highlight w:val="yellow"/>
                <w:lang w:val="en-US" w:eastAsia="zh-CN" w:bidi="ar"/>
              </w:rPr>
            </w:pPr>
          </w:p>
        </w:tc>
        <w:tc>
          <w:tcPr>
            <w:tcW w:w="0" w:type="auto"/>
            <w:tcBorders>
              <w:top w:val="nil"/>
              <w:left w:val="nil"/>
              <w:bottom w:val="single" w:color="auto" w:sz="12"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eastAsia" w:ascii="仿宋" w:hAnsi="仿宋" w:eastAsia="仿宋" w:cs="仿宋"/>
                <w:color w:val="010101"/>
                <w:kern w:val="0"/>
                <w:sz w:val="21"/>
                <w:szCs w:val="21"/>
                <w:highlight w:val="yellow"/>
                <w:lang w:val="en-US" w:eastAsia="zh-CN" w:bidi="ar"/>
              </w:rPr>
            </w:pPr>
          </w:p>
        </w:tc>
        <w:tc>
          <w:tcPr>
            <w:tcW w:w="0" w:type="auto"/>
            <w:tcBorders>
              <w:top w:val="nil"/>
              <w:left w:val="nil"/>
              <w:bottom w:val="single" w:color="auto" w:sz="12"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eastAsia" w:ascii="仿宋" w:hAnsi="仿宋" w:eastAsia="仿宋" w:cs="仿宋"/>
                <w:color w:val="010101"/>
                <w:kern w:val="0"/>
                <w:sz w:val="21"/>
                <w:szCs w:val="21"/>
                <w:highlight w:val="yellow"/>
                <w:lang w:val="en-US" w:eastAsia="zh-CN" w:bidi="ar"/>
              </w:rPr>
            </w:pPr>
          </w:p>
        </w:tc>
        <w:tc>
          <w:tcPr>
            <w:tcW w:w="0" w:type="auto"/>
            <w:tcBorders>
              <w:top w:val="nil"/>
              <w:left w:val="nil"/>
              <w:bottom w:val="single" w:color="auto" w:sz="12"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eastAsia" w:ascii="仿宋" w:hAnsi="仿宋" w:eastAsia="仿宋" w:cs="仿宋"/>
                <w:color w:val="010101"/>
                <w:kern w:val="0"/>
                <w:sz w:val="21"/>
                <w:szCs w:val="21"/>
                <w:highlight w:val="yellow"/>
                <w:lang w:val="en-US" w:eastAsia="zh-CN" w:bidi="ar"/>
              </w:rPr>
            </w:pPr>
          </w:p>
        </w:tc>
        <w:tc>
          <w:tcPr>
            <w:tcW w:w="0" w:type="auto"/>
            <w:tcBorders>
              <w:top w:val="nil"/>
              <w:left w:val="nil"/>
              <w:bottom w:val="single" w:color="auto" w:sz="12" w:space="0"/>
              <w:right w:val="single" w:color="auto" w:sz="12"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eastAsia" w:ascii="仿宋" w:hAnsi="仿宋" w:eastAsia="仿宋" w:cs="仿宋"/>
                <w:color w:val="010101"/>
                <w:kern w:val="0"/>
                <w:sz w:val="21"/>
                <w:szCs w:val="21"/>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360" w:right="0" w:hanging="720"/>
        <w:jc w:val="left"/>
      </w:pPr>
      <w:r>
        <w:rPr>
          <w:rFonts w:hint="eastAsia" w:ascii="仿宋" w:hAnsi="仿宋" w:eastAsia="仿宋" w:cs="仿宋"/>
          <w:i w:val="0"/>
          <w:iCs w:val="0"/>
          <w:caps w:val="0"/>
          <w:color w:val="1E1E1E"/>
          <w:spacing w:val="0"/>
          <w:kern w:val="0"/>
          <w:sz w:val="32"/>
          <w:szCs w:val="32"/>
          <w:lang w:val="en-US" w:eastAsia="zh-CN" w:bidi="ar"/>
        </w:rPr>
        <w:t>2、 专项资金的管理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firstLine="0"/>
        <w:jc w:val="left"/>
      </w:pPr>
      <w:r>
        <w:rPr>
          <w:rFonts w:hint="eastAsia" w:ascii="仿宋" w:hAnsi="仿宋" w:eastAsia="仿宋" w:cs="仿宋"/>
          <w:i w:val="0"/>
          <w:iCs w:val="0"/>
          <w:caps w:val="0"/>
          <w:color w:val="1E1E1E"/>
          <w:spacing w:val="0"/>
          <w:kern w:val="0"/>
          <w:sz w:val="32"/>
          <w:szCs w:val="32"/>
          <w:lang w:val="en-US" w:eastAsia="zh-CN" w:bidi="ar"/>
        </w:rPr>
        <w:t>     实现专款专用。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b/>
          <w:bCs/>
          <w:color w:val="auto"/>
          <w:sz w:val="180"/>
          <w:szCs w:val="180"/>
        </w:rPr>
      </w:pPr>
      <w:r>
        <w:rPr>
          <w:rFonts w:hint="eastAsia" w:ascii="仿宋" w:hAnsi="仿宋" w:eastAsia="仿宋" w:cs="仿宋"/>
          <w:b/>
          <w:bCs/>
          <w:i w:val="0"/>
          <w:iCs w:val="0"/>
          <w:caps w:val="0"/>
          <w:color w:val="auto"/>
          <w:spacing w:val="0"/>
          <w:sz w:val="32"/>
          <w:szCs w:val="32"/>
        </w:rPr>
        <w:t>四、部门整体支出绩效评价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2021年，根据局年初工作规划和重点工作，围绕县委、县政府的发展蓝图，积极履职，强化管理，较好的完成了年度工作目标。通过加强预算收支管理，不断建立健全内部管理制度，梳理内部管理流程，部门整体支出管理情况得到提升，部门整体支出绩效情况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0"/>
        <w:jc w:val="left"/>
      </w:pPr>
      <w:r>
        <w:rPr>
          <w:rFonts w:hint="eastAsia" w:ascii="仿宋" w:hAnsi="仿宋" w:eastAsia="仿宋" w:cs="仿宋"/>
          <w:b/>
          <w:bCs/>
          <w:i w:val="0"/>
          <w:iCs w:val="0"/>
          <w:caps w:val="0"/>
          <w:color w:val="1E1E1E"/>
          <w:spacing w:val="0"/>
          <w:kern w:val="0"/>
          <w:sz w:val="32"/>
          <w:szCs w:val="32"/>
          <w:lang w:val="en-US" w:eastAsia="zh-CN" w:bidi="ar"/>
        </w:rPr>
        <w:t>（一）经济性评价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1.本年预算配置控制较好。财政供养人员控制在预算编制以内；“三公”经费支出总额控制在预算。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2.预算执行</w:t>
      </w:r>
      <w:r>
        <w:rPr>
          <w:rFonts w:hint="eastAsia" w:ascii="仿宋" w:hAnsi="仿宋" w:eastAsia="仿宋" w:cs="仿宋"/>
          <w:i w:val="0"/>
          <w:iCs w:val="0"/>
          <w:caps w:val="0"/>
          <w:color w:val="1E1E1E"/>
          <w:spacing w:val="0"/>
          <w:kern w:val="0"/>
          <w:sz w:val="32"/>
          <w:szCs w:val="32"/>
          <w:highlight w:val="none"/>
          <w:lang w:val="en-US" w:eastAsia="zh-CN" w:bidi="ar"/>
        </w:rPr>
        <w:t>方面。支出总额年初预算金额与决算金额相差471.38万元，是因为单位使用了上级专项资金安排了项目支出，上级专项资金不在本级预算总数内，导致支出数比年初预算数大；三公经费总体控制较好，控制在预算总额以内。预算管理方面，制度执行总体较为有效，仍需进一步强化。资金使用管理需进一步加强。资产管理方面，建立了资产管理制度，总体执行较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472"/>
        <w:jc w:val="left"/>
      </w:pPr>
      <w:r>
        <w:rPr>
          <w:rFonts w:hint="eastAsia" w:ascii="仿宋" w:hAnsi="仿宋" w:eastAsia="仿宋" w:cs="仿宋"/>
          <w:b/>
          <w:bCs/>
          <w:i w:val="0"/>
          <w:iCs w:val="0"/>
          <w:caps w:val="0"/>
          <w:color w:val="1E1E1E"/>
          <w:spacing w:val="0"/>
          <w:kern w:val="0"/>
          <w:sz w:val="32"/>
          <w:szCs w:val="32"/>
          <w:lang w:val="en-US" w:eastAsia="zh-CN" w:bidi="ar"/>
        </w:rPr>
        <w:t>（二）行政效能评价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470"/>
        <w:jc w:val="left"/>
      </w:pPr>
      <w:r>
        <w:rPr>
          <w:rFonts w:hint="eastAsia" w:ascii="仿宋" w:hAnsi="仿宋" w:eastAsia="仿宋" w:cs="仿宋"/>
          <w:i w:val="0"/>
          <w:iCs w:val="0"/>
          <w:caps w:val="0"/>
          <w:color w:val="1E1E1E"/>
          <w:spacing w:val="0"/>
          <w:kern w:val="0"/>
          <w:sz w:val="32"/>
          <w:szCs w:val="32"/>
          <w:lang w:val="en-US" w:eastAsia="zh-CN" w:bidi="ar"/>
        </w:rPr>
        <w:t>预算安排的基本支出保障了我局的正常的工作运转，在资金的管理和使用上，严守法律底线、纪律底线、道德底线。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1.高度重视预算绩效工作。成立为以局长为组长，其他局领导为副组长，各科室负责人及财务室人员为成员的预算绩效工作领导小组，进一步强化财政预算支出绩效管理。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2.加强对财政预算资金管理方面制度的培训，不断提高业务工作能力。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3.建立了机关整体支出管理方面的内控制度，并不断进行完善和修订。财务管理制度、固定资产管理制度等办法，对各项支出进行了有效管控。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4.严格控制执行，特别是三公经费的预算控制。严格招待费用审核审批程度，“三公”经费较好地控制在预算范围之内。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（三）社会公众满意度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 2021年，全局干部职工在局党委的正确领导下，认真贯彻落实县委县政府决策部署，勤奋工作，创先争优，圆满完成各项工作任务。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（四）部门整体绩效得分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 根据部门整体支出绩效评价指标体系，本局2021年度评价得分为</w:t>
      </w:r>
      <w:r>
        <w:rPr>
          <w:rFonts w:hint="eastAsia" w:ascii="仿宋" w:hAnsi="仿宋" w:eastAsia="仿宋" w:cs="仿宋"/>
          <w:i w:val="0"/>
          <w:iCs w:val="0"/>
          <w:caps w:val="0"/>
          <w:color w:val="1E1E1E"/>
          <w:spacing w:val="0"/>
          <w:kern w:val="0"/>
          <w:sz w:val="32"/>
          <w:szCs w:val="32"/>
          <w:highlight w:val="none"/>
          <w:lang w:val="en-US" w:eastAsia="zh-CN" w:bidi="ar"/>
        </w:rPr>
        <w:t>98.5分（附件2）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pPr>
      <w:r>
        <w:rPr>
          <w:rFonts w:hint="eastAsia" w:ascii="仿宋" w:hAnsi="仿宋" w:eastAsia="仿宋" w:cs="仿宋"/>
          <w:i w:val="0"/>
          <w:iCs w:val="0"/>
          <w:caps w:val="0"/>
          <w:color w:val="1E1E1E"/>
          <w:spacing w:val="0"/>
          <w:kern w:val="0"/>
          <w:sz w:val="32"/>
          <w:szCs w:val="32"/>
          <w:lang w:val="en-US" w:eastAsia="zh-CN" w:bidi="ar"/>
        </w:rPr>
        <w:t> </w:t>
      </w:r>
      <w:r>
        <w:rPr>
          <w:rFonts w:hint="eastAsia" w:ascii="仿宋" w:hAnsi="仿宋" w:eastAsia="仿宋" w:cs="仿宋"/>
          <w:b/>
          <w:bCs/>
          <w:i w:val="0"/>
          <w:iCs w:val="0"/>
          <w:caps w:val="0"/>
          <w:color w:val="1E1E1E"/>
          <w:spacing w:val="0"/>
          <w:kern w:val="0"/>
          <w:sz w:val="32"/>
          <w:szCs w:val="32"/>
          <w:lang w:val="en-US" w:eastAsia="zh-CN" w:bidi="ar"/>
        </w:rPr>
        <w:t xml:space="preserve">  五、 存在的主要问题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firstLine="0"/>
        <w:jc w:val="left"/>
        <w:rPr>
          <w:rFonts w:hint="default"/>
          <w:lang w:val="en-US"/>
        </w:rPr>
      </w:pPr>
      <w:r>
        <w:rPr>
          <w:rFonts w:hint="eastAsia" w:ascii="仿宋" w:hAnsi="仿宋" w:eastAsia="仿宋" w:cs="仿宋"/>
          <w:i w:val="0"/>
          <w:iCs w:val="0"/>
          <w:caps w:val="0"/>
          <w:color w:val="1E1E1E"/>
          <w:spacing w:val="0"/>
          <w:kern w:val="0"/>
          <w:sz w:val="32"/>
          <w:szCs w:val="32"/>
          <w:lang w:val="en-US" w:eastAsia="zh-CN" w:bidi="ar"/>
        </w:rPr>
        <w:t>      预算管理方面，制度执行总体较为有效，仍需进一步强化。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六、改进意见及建议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进一步加强财政预算绩效管理。严格按照部门预算要求，牢固树立“成本效益”观念，进一步加强预算管理，规范预算执行，不断优化预算支出结构。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rPr>
          <w:highlight w:val="none"/>
        </w:rPr>
      </w:pPr>
      <w:r>
        <w:rPr>
          <w:rFonts w:ascii="黑体" w:hAnsi="宋体" w:eastAsia="黑体" w:cs="黑体"/>
          <w:i w:val="0"/>
          <w:iCs w:val="0"/>
          <w:caps w:val="0"/>
          <w:color w:val="1E1E1E"/>
          <w:spacing w:val="0"/>
          <w:kern w:val="0"/>
          <w:sz w:val="32"/>
          <w:szCs w:val="32"/>
          <w:highlight w:val="none"/>
          <w:lang w:val="en-US" w:eastAsia="zh-CN" w:bidi="ar"/>
        </w:rPr>
        <w:t>附件</w:t>
      </w:r>
      <w:r>
        <w:rPr>
          <w:rFonts w:hint="eastAsia" w:ascii="黑体" w:hAnsi="宋体" w:eastAsia="黑体" w:cs="黑体"/>
          <w:i w:val="0"/>
          <w:iCs w:val="0"/>
          <w:caps w:val="0"/>
          <w:color w:val="1E1E1E"/>
          <w:spacing w:val="0"/>
          <w:kern w:val="0"/>
          <w:sz w:val="32"/>
          <w:szCs w:val="32"/>
          <w:highlight w:val="none"/>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40" w:right="0" w:hanging="540"/>
        <w:jc w:val="center"/>
      </w:pPr>
      <w:r>
        <w:rPr>
          <w:rFonts w:hint="default" w:ascii="Times New Roman" w:hAnsi="Times New Roman" w:eastAsia="微软雅黑" w:cs="Times New Roman"/>
          <w:i w:val="0"/>
          <w:iCs w:val="0"/>
          <w:caps w:val="0"/>
          <w:color w:val="1E1E1E"/>
          <w:spacing w:val="0"/>
          <w:kern w:val="0"/>
          <w:sz w:val="36"/>
          <w:szCs w:val="36"/>
          <w:lang w:val="en-US" w:eastAsia="zh-CN" w:bidi="ar"/>
        </w:rPr>
        <w:t>20</w:t>
      </w:r>
      <w:r>
        <w:rPr>
          <w:rFonts w:hint="eastAsia" w:ascii="Times New Roman" w:hAnsi="Times New Roman" w:eastAsia="微软雅黑" w:cs="Times New Roman"/>
          <w:i w:val="0"/>
          <w:iCs w:val="0"/>
          <w:caps w:val="0"/>
          <w:color w:val="1E1E1E"/>
          <w:spacing w:val="0"/>
          <w:kern w:val="0"/>
          <w:sz w:val="36"/>
          <w:szCs w:val="36"/>
          <w:lang w:val="en-US" w:eastAsia="zh-CN" w:bidi="ar"/>
        </w:rPr>
        <w:t>21</w:t>
      </w:r>
      <w:r>
        <w:rPr>
          <w:rFonts w:ascii="方正小标宋_GBK" w:hAnsi="方正小标宋_GBK" w:eastAsia="方正小标宋_GBK" w:cs="方正小标宋_GBK"/>
          <w:i w:val="0"/>
          <w:iCs w:val="0"/>
          <w:caps w:val="0"/>
          <w:color w:val="1E1E1E"/>
          <w:spacing w:val="0"/>
          <w:kern w:val="0"/>
          <w:sz w:val="36"/>
          <w:szCs w:val="36"/>
          <w:lang w:val="en-US" w:eastAsia="zh-CN" w:bidi="ar"/>
        </w:rPr>
        <w:t>年度部门整体支出</w:t>
      </w:r>
      <w:r>
        <w:rPr>
          <w:rFonts w:hint="default" w:ascii="方正小标宋_GBK" w:hAnsi="方正小标宋_GBK" w:eastAsia="方正小标宋_GBK" w:cs="方正小标宋_GBK"/>
          <w:i w:val="0"/>
          <w:iCs w:val="0"/>
          <w:caps w:val="0"/>
          <w:color w:val="1E1E1E"/>
          <w:spacing w:val="-8"/>
          <w:kern w:val="0"/>
          <w:sz w:val="36"/>
          <w:szCs w:val="36"/>
          <w:lang w:val="en-US" w:eastAsia="zh-CN" w:bidi="ar"/>
        </w:rPr>
        <w:t>绩效评价指标评分表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96" w:right="0" w:hanging="396"/>
        <w:jc w:val="left"/>
      </w:pPr>
      <w:r>
        <w:rPr>
          <w:rFonts w:ascii="楷体_GB2312" w:hAnsi="微软雅黑" w:eastAsia="楷体_GB2312" w:cs="楷体_GB2312"/>
          <w:i w:val="0"/>
          <w:iCs w:val="0"/>
          <w:caps w:val="0"/>
          <w:color w:val="1E1E1E"/>
          <w:spacing w:val="-8"/>
          <w:kern w:val="0"/>
          <w:sz w:val="28"/>
          <w:szCs w:val="28"/>
          <w:lang w:val="en-US" w:eastAsia="zh-CN" w:bidi="ar"/>
        </w:rPr>
        <w:t>填报单位（盖章）：</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11"/>
        <w:gridCol w:w="527"/>
        <w:gridCol w:w="944"/>
        <w:gridCol w:w="1788"/>
        <w:gridCol w:w="4141"/>
        <w:gridCol w:w="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bookmarkStart w:id="0" w:name="_GoBack"/>
            <w:r>
              <w:rPr>
                <w:rFonts w:hint="eastAsia" w:ascii="宋体" w:hAnsi="宋体" w:eastAsia="宋体" w:cs="宋体"/>
                <w:color w:val="000000"/>
                <w:sz w:val="21"/>
                <w:szCs w:val="21"/>
              </w:rPr>
              <w:t>一级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指标</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二级指标</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三级指标</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指标解释</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指标说明</w:t>
            </w:r>
          </w:p>
        </w:tc>
        <w:tc>
          <w:tcPr>
            <w:tcW w:w="0" w:type="auto"/>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自评分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6"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投入(20分)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设定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绩效目标合理性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部门所设立的整体绩效目标依据是否充分，是否符合客观实际，用以反映和考核部门整体绩效目标与部门履职、年度工作任务的相符性情况。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①符合国家法律法规、国民经济和社会发展总体规划计1分；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②符合部门“三定”方案确定的职责计0.5分；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③是否符合部门制定的中长期实施规划计0.5分。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绩效指标明确性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部门依据整体绩效目标所设定的绩效指标是否清晰、细化、可衡量，用以反映和考核部门整体绩效目标的细化情况。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①将部门整体的绩效目标细化分解为具体的工作任务计1分；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②通过清晰、可衡量的指标值予以体现计0.5分；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③与部门年度的任务数或计划数相对应计0.5分；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④与本年度部门预算资金相匹配计1分。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1"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配置（15分）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在职人员控制率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部门本年度实际在职人员数与编制数的比率，用以反映和考核部门对人员成本的控制程度。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8"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“三公经费”变动率（5分）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部门本年度“三公经费”预算数与上年度“三公经费”预算数的变动比率，用以反映和考核部门对控制重点行政成本的努力程度。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eastAsiaTheme="minorEastAsia"/>
                <w:lang w:eastAsia="zh-CN"/>
              </w:rPr>
            </w:pPr>
            <w:r>
              <w:rPr>
                <w:rFonts w:hint="eastAsia" w:ascii="宋体" w:hAnsi="宋体" w:eastAsia="宋体" w:cs="宋体"/>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5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重点支出安排率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部门本年度预算安排的重点项目支出与部门项目总支出的比率，用以反映和考核部门对履行主要职责或完成重点任务的保障程度。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6"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完成率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部门本年度预算完成数与预算数的比率，用以反映和考核部门预算完成程度。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预算完成率=（预算完成数/预算数）×100%。完成年初预算计4分，未完成年初预算按比例扣减，预算完成数：部门本年度实际完成的预算数。预算数：财政部门批复的本年度部门预算数。</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调整率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部门本年度预算调整数与预算数的比率，用以反映和考核部门预算的调整程度。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进度率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部门实际支付进度与既定支付进度的比率，用以反映和考核部门预算执行的及时性和均衡性程度。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eastAsiaTheme="minorEastAsia"/>
                <w:lang w:val="en-US" w:eastAsia="zh-CN"/>
              </w:rPr>
            </w:pPr>
            <w:r>
              <w:rPr>
                <w:rFonts w:hint="eastAsia" w:ascii="宋体" w:hAnsi="宋体" w:eastAsia="宋体" w:cs="宋体"/>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1"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结转结余控制率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部门本年度结转结余总额与上年结转结余总额增减比例，用以反映和考核部门对存量资金的实际控制程度。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公用经费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控制率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部门本年度实际支出的公用经费总额与预算安排的公用经费总额的比率，用以反映和考核部门对机构运转成本的实际控制程度。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公用经费控制率=（实际支出公用经费总额/预算安排公用经费总额）×100%。为100%的计4分，每超过1个百分点扣0.1分，扣完为止。</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eastAsiaTheme="minorEastAsia"/>
                <w:lang w:eastAsia="zh-CN"/>
              </w:rPr>
            </w:pPr>
            <w:r>
              <w:rPr>
                <w:rFonts w:hint="eastAsia" w:ascii="宋体" w:hAnsi="宋体" w:eastAsia="宋体" w:cs="宋体"/>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“三公经费”控制率（3分）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部门本年度“三公经费”实际支出数与预算安排数的比率，用以反映和考核部门对“三公经费”的实际控制程度。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“三公经费”控制率=（“三公经费”实际支出数/“三公经费”预算安排数）×100%。为100%的计3分，每超过1个百分点扣0.5分，扣完为止。</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政府采购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执行率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部门本年度实际政府采购金额与年初政府采购预算的比率，用以反映和考核部门政府采购预算执行情况。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(12分)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健全性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部门为加强预算管理、规范财务行为而制定的管理制度是否健全完整，用以反映和考核部门预算管理制度对完成主要职责或促进事业发展的保障情况。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已制定或具有预算资金管理办法、内部财务管理制度、会计核算制度等管理制度计1分；相关管理制度合法、合规、完整计0.5分；相关管理制度得到有效执行计0.5分。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资金使用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合规性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部门使用预算资金是否符合相关的预算财务管理制度的规定，用以反映和考核部门预算资金的规范运行情况。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①符合国家财经法规和财务管理制度规定以及有关专项资金管理办法的规定计1分；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②资金的拨付有完整的审批程序和手续计1分；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③项目的重大开支经过评估论证计1分；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④符合部门预算批复的用途计1分；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⑤不存在截留、挤占、挪用、虚列支出等情况计1分。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预决算信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息公开性（2分）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部门是否按照政府信息公开有关规定公开相关预决算信息，用以反映和考核部门预决算管理的公开透明情况。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①按规定内容公开预决算信息计1分；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②按规定时限公开预决算信息计1分。预决算信息是指与部门预算、执行、决算、监督、绩效等管理相关的信息。</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基础信息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完善性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部门基础信息是否完善，用以反映和考核基础信息对预算管理工作的支撑情况。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①基础数据信息和会计信息资料真实计1分；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②基础数据信息和会计信息资料完整计1分；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③基础数据信息和会计信息资料准确计1分。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8"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健全性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部门为加强资产管理、规范资产管理行为而制定的管理制度是否健全完整，用以反映和考核部门资产管理制度对完成主要职责或促进社会发展的保障情况。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①制定或具有资产管理制度计1分；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②相关资金管理制度合法、合规、完整计0.5分；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③相关资产管理制度得到有效执行计0.5分。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资产管理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安全性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部门的资产是否保存完整、使用合规、配置合理、处置规范、收入及时足额上缴，用以反映和考核部门资产安全运行情况。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①资产保存完整计0.4分；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②资产配置合理计0.4分；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③资产处置规范计0.4分；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④资产账务管理合规、帐实相符计0.4分；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⑤资产有偿使用及处置收入及时足额上缴计0.4分。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利用率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（1分）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部门实际在用固定资产总额与所有固定资产总额的比率，用以反映和考核部门固定资产使用效率程度。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固定资产利用率=（实际在用固定资产总额/所有固定资产总额）×100%。利用率为100%的计1分，每降1个百分点扣0.1分，扣完为止。</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4"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产出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履行</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实际完成率（5分）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部门履行职责而实际完成工作数与计划工作数的比率，用以反映和考核部门履职工作任务目标的实现程度。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实际完成率得分=完成县委县政府绩效考核得分或上级主管部门考核指标得分/指标分值*5分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完成及时率（4分）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部门在规定时限内及时完成的实际工作数与计划工作数的比率,用以反映和考核部门履职时效目标的实现程度。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600" w:lineRule="atLeast"/>
              <w:ind w:left="0" w:right="0"/>
              <w:jc w:val="both"/>
            </w:pPr>
            <w:r>
              <w:rPr>
                <w:rFonts w:hint="eastAsia" w:ascii="宋体" w:hAnsi="宋体" w:eastAsia="宋体" w:cs="宋体"/>
                <w:color w:val="000000"/>
                <w:sz w:val="21"/>
                <w:szCs w:val="21"/>
              </w:rPr>
              <w:t>完成及时率=（及时完成实际工作数/计划工作数）×100%。1-4季度各得1分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质量达标率（5分）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达到质量标准（绩效标准值）的实际工作数与计划工作数的比率,用以反映和考核部门履职质量目标的实现程度。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质量达标率=（质量达标实际工作数/计划工作数）×100%。实际得分=达标率*5分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重点工作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办结率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（6分）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部门年度重点工作实际完成数与交办或下达数的比率，用以反映部门对重点工作的办理落实程度。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重点工作办结率=（重点工作实际完成数/交办或下达数）×100%。实际得分=办结率*6分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履职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效益(20分)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经济效益（5分）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部门履行职责对经济发展所带来的直接或间接影响。</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按经济效益实现程度计算得分（5分）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社会效益（5分）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部门履行职责对社会发展所带来的直接或间接影响。</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pPr>
            <w:r>
              <w:rPr>
                <w:rFonts w:hint="eastAsia" w:ascii="宋体" w:hAnsi="宋体" w:eastAsia="宋体" w:cs="宋体"/>
                <w:color w:val="000000"/>
                <w:kern w:val="0"/>
                <w:sz w:val="21"/>
                <w:szCs w:val="21"/>
                <w:lang w:val="en-US" w:eastAsia="zh-CN" w:bidi="ar"/>
              </w:rPr>
              <w:t>按社会效益实现程度计算得分（5分）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宋体" w:hAnsi="宋体" w:eastAsia="宋体" w:cs="宋体"/>
                <w:color w:val="000000"/>
                <w:kern w:val="0"/>
                <w:sz w:val="21"/>
                <w:szCs w:val="21"/>
                <w:lang w:val="en-US" w:eastAsia="zh-CN" w:bidi="ar"/>
              </w:rPr>
              <w:t>行政效能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宋体" w:hAnsi="宋体" w:eastAsia="宋体" w:cs="宋体"/>
                <w:color w:val="000000"/>
                <w:kern w:val="0"/>
                <w:sz w:val="21"/>
                <w:szCs w:val="21"/>
                <w:lang w:val="en-US" w:eastAsia="zh-CN" w:bidi="ar"/>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促进部门改进文风会风，加强经费及资产管理，推动网上办事，提高行政效率。</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降低行政成本效果较好的计6分；一般3分；无效果或者效果不明显0分。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社会公众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或服务对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象满意度（5分）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社会公众或部门的服务对象对部门履职效果的满意程度。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sz w:val="18"/>
                <w:szCs w:val="18"/>
              </w:rPr>
              <w:t>90%</w:t>
            </w:r>
            <w:r>
              <w:rPr>
                <w:rFonts w:hint="eastAsia" w:ascii="宋体" w:hAnsi="宋体" w:eastAsia="宋体" w:cs="宋体"/>
                <w:color w:val="000000"/>
                <w:sz w:val="21"/>
                <w:szCs w:val="21"/>
              </w:rPr>
              <w:t>（含）以上计5分；80%（含）-90%，计4分；70%（含）-80%，计3分；60%（含）-70%，计2分；低于60%计0分。</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jc w:val="center"/>
        </w:trPr>
        <w:tc>
          <w:tcPr>
            <w:tcW w:w="0" w:type="auto"/>
            <w:tcBorders>
              <w:top w:val="nil"/>
              <w:left w:val="single" w:color="auto" w:sz="8" w:space="0"/>
              <w:bottom w:val="nil"/>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总分</w:t>
            </w:r>
          </w:p>
        </w:tc>
        <w:tc>
          <w:tcPr>
            <w:tcW w:w="0" w:type="auto"/>
            <w:tcBorders>
              <w:top w:val="nil"/>
              <w:left w:val="nil"/>
              <w:bottom w:val="nil"/>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100</w:t>
            </w:r>
          </w:p>
        </w:tc>
        <w:tc>
          <w:tcPr>
            <w:tcW w:w="0" w:type="auto"/>
            <w:tcBorders>
              <w:top w:val="nil"/>
              <w:left w:val="nil"/>
              <w:bottom w:val="nil"/>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100　</w:t>
            </w:r>
          </w:p>
        </w:tc>
        <w:tc>
          <w:tcPr>
            <w:tcW w:w="0" w:type="auto"/>
            <w:tcBorders>
              <w:top w:val="nil"/>
              <w:left w:val="nil"/>
              <w:bottom w:val="nil"/>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nil"/>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nil"/>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9</w:t>
            </w:r>
            <w:r>
              <w:rPr>
                <w:rFonts w:hint="eastAsia" w:ascii="宋体" w:hAnsi="宋体" w:eastAsia="宋体" w:cs="宋体"/>
                <w:sz w:val="24"/>
                <w:szCs w:val="24"/>
                <w:lang w:val="en-US" w:eastAsia="zh-CN"/>
              </w:rPr>
              <w:t>8</w:t>
            </w: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jc w:val="center"/>
        </w:trPr>
        <w:tc>
          <w:tcPr>
            <w:tcW w:w="0" w:type="auto"/>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sz w:val="24"/>
                <w:szCs w:val="24"/>
              </w:rPr>
              <w:t> </w:t>
            </w:r>
          </w:p>
        </w:tc>
      </w:tr>
      <w:bookmarkEnd w:id="0"/>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B5B5B5"/>
          <w:spacing w:val="0"/>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CA667B"/>
    <w:multiLevelType w:val="multilevel"/>
    <w:tmpl w:val="B2CA667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05FD4"/>
    <w:rsid w:val="00500138"/>
    <w:rsid w:val="00B12E5B"/>
    <w:rsid w:val="01D84888"/>
    <w:rsid w:val="01E8643C"/>
    <w:rsid w:val="02D50DC8"/>
    <w:rsid w:val="04C80BE4"/>
    <w:rsid w:val="05005FD4"/>
    <w:rsid w:val="09C53944"/>
    <w:rsid w:val="0BCB68A3"/>
    <w:rsid w:val="0FD91EF8"/>
    <w:rsid w:val="120B3EBE"/>
    <w:rsid w:val="13372BA8"/>
    <w:rsid w:val="13983E78"/>
    <w:rsid w:val="13A116C1"/>
    <w:rsid w:val="15842905"/>
    <w:rsid w:val="15A05265"/>
    <w:rsid w:val="17CD1761"/>
    <w:rsid w:val="181F06C4"/>
    <w:rsid w:val="18CE3E98"/>
    <w:rsid w:val="1C0A70D5"/>
    <w:rsid w:val="1CB3762C"/>
    <w:rsid w:val="1E060B52"/>
    <w:rsid w:val="1E6A780F"/>
    <w:rsid w:val="204612CC"/>
    <w:rsid w:val="23EB7FF4"/>
    <w:rsid w:val="27075144"/>
    <w:rsid w:val="292024ED"/>
    <w:rsid w:val="2F2C1C8E"/>
    <w:rsid w:val="31DB16A7"/>
    <w:rsid w:val="345C4E5A"/>
    <w:rsid w:val="36FC6348"/>
    <w:rsid w:val="37166CDE"/>
    <w:rsid w:val="375D4D8C"/>
    <w:rsid w:val="38836192"/>
    <w:rsid w:val="389B050C"/>
    <w:rsid w:val="3A7471B4"/>
    <w:rsid w:val="3A8C79E3"/>
    <w:rsid w:val="3AE67B2E"/>
    <w:rsid w:val="3E833E1A"/>
    <w:rsid w:val="3F2538A7"/>
    <w:rsid w:val="412A2302"/>
    <w:rsid w:val="417967E7"/>
    <w:rsid w:val="42611C86"/>
    <w:rsid w:val="43C0660A"/>
    <w:rsid w:val="44CB1108"/>
    <w:rsid w:val="45E561F9"/>
    <w:rsid w:val="48822425"/>
    <w:rsid w:val="4AB32D6A"/>
    <w:rsid w:val="4AFA5160"/>
    <w:rsid w:val="4BED47E4"/>
    <w:rsid w:val="523A62D5"/>
    <w:rsid w:val="53A70F92"/>
    <w:rsid w:val="53DD0E57"/>
    <w:rsid w:val="55067F3A"/>
    <w:rsid w:val="56334D5F"/>
    <w:rsid w:val="56A30136"/>
    <w:rsid w:val="586E6522"/>
    <w:rsid w:val="5A6922A2"/>
    <w:rsid w:val="5CF96441"/>
    <w:rsid w:val="5D3715D8"/>
    <w:rsid w:val="5D535CE6"/>
    <w:rsid w:val="5D6F463D"/>
    <w:rsid w:val="5D9E1657"/>
    <w:rsid w:val="5E6A153A"/>
    <w:rsid w:val="5E7C48A6"/>
    <w:rsid w:val="603E03DD"/>
    <w:rsid w:val="65674B5C"/>
    <w:rsid w:val="671F2266"/>
    <w:rsid w:val="6BDB5825"/>
    <w:rsid w:val="6D0F0262"/>
    <w:rsid w:val="6E8B4955"/>
    <w:rsid w:val="6EB505AF"/>
    <w:rsid w:val="6ED940F7"/>
    <w:rsid w:val="6EE4528E"/>
    <w:rsid w:val="718524BB"/>
    <w:rsid w:val="724D7270"/>
    <w:rsid w:val="72D62670"/>
    <w:rsid w:val="72F53670"/>
    <w:rsid w:val="73920D98"/>
    <w:rsid w:val="751C71B6"/>
    <w:rsid w:val="78485FF0"/>
    <w:rsid w:val="7D3138D4"/>
    <w:rsid w:val="7D9B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首行缩进 21"/>
    <w:basedOn w:val="1"/>
    <w:next w:val="3"/>
    <w:qFormat/>
    <w:uiPriority w:val="0"/>
    <w:pPr>
      <w:ind w:left="200" w:leftChars="200"/>
    </w:pPr>
    <w:rPr>
      <w:rFonts w:eastAsia="仿宋_GB2312"/>
      <w:sz w:val="32"/>
      <w:szCs w:val="32"/>
    </w:rPr>
  </w:style>
  <w:style w:type="paragraph" w:styleId="3">
    <w:name w:val="Normal (Web)"/>
    <w:basedOn w:val="1"/>
    <w:next w:val="1"/>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2021-10-12T00:46:00Z</dcterms:created>
  <dc:creator>PC</dc:creator>
  <cp:lastModifiedBy>Administrator</cp:lastModifiedBy>
  <dcterms:modified xsi:type="dcterms:W3CDTF">2022-03-17T03:51:49Z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65A534E1D38645E594F75BFC30A7EFF9</vt:lpwstr>
  </property>
</Properties>
</file>