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黑体" w:hAnsi="黑体" w:eastAsia="黑体" w:cs="黑体"/>
          <w:b/>
          <w:bCs/>
          <w:i w:val="0"/>
          <w:iCs w:val="0"/>
          <w:caps w:val="0"/>
          <w:color w:val="1E1E1E"/>
          <w:spacing w:val="0"/>
          <w:kern w:val="0"/>
          <w:sz w:val="48"/>
          <w:szCs w:val="4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黑体" w:hAnsi="黑体" w:eastAsia="黑体" w:cs="黑体"/>
          <w:b/>
          <w:bCs/>
          <w:i w:val="0"/>
          <w:iCs w:val="0"/>
          <w:caps w:val="0"/>
          <w:color w:val="1E1E1E"/>
          <w:spacing w:val="0"/>
          <w:kern w:val="0"/>
          <w:sz w:val="48"/>
          <w:szCs w:val="48"/>
          <w:lang w:val="en-US" w:eastAsia="zh-CN" w:bidi="ar"/>
        </w:rPr>
      </w:pPr>
      <w:r>
        <w:rPr>
          <w:rFonts w:hint="eastAsia" w:ascii="黑体" w:hAnsi="黑体" w:eastAsia="黑体" w:cs="黑体"/>
          <w:b/>
          <w:bCs/>
          <w:i w:val="0"/>
          <w:iCs w:val="0"/>
          <w:caps w:val="0"/>
          <w:color w:val="1E1E1E"/>
          <w:spacing w:val="0"/>
          <w:kern w:val="0"/>
          <w:sz w:val="48"/>
          <w:szCs w:val="48"/>
          <w:lang w:val="en-US" w:eastAsia="zh-CN" w:bidi="ar"/>
        </w:rPr>
        <w:t>曲沃县交通运输局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黑体" w:hAnsi="黑体" w:eastAsia="黑体" w:cs="黑体"/>
          <w:b/>
          <w:bCs/>
          <w:i w:val="0"/>
          <w:iCs w:val="0"/>
          <w:caps w:val="0"/>
          <w:color w:val="1E1E1E"/>
          <w:spacing w:val="0"/>
          <w:sz w:val="48"/>
          <w:szCs w:val="48"/>
        </w:rPr>
      </w:pPr>
      <w:r>
        <w:rPr>
          <w:rFonts w:hint="eastAsia" w:ascii="黑体" w:hAnsi="黑体" w:eastAsia="黑体" w:cs="黑体"/>
          <w:b/>
          <w:bCs/>
          <w:i w:val="0"/>
          <w:iCs w:val="0"/>
          <w:caps w:val="0"/>
          <w:color w:val="1E1E1E"/>
          <w:spacing w:val="0"/>
          <w:kern w:val="0"/>
          <w:sz w:val="48"/>
          <w:szCs w:val="48"/>
          <w:lang w:val="en-US" w:eastAsia="zh-CN" w:bidi="ar"/>
        </w:rPr>
        <w:t>2021年度部门整体支出绩效自评报告</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根据《曲沃县财政局关于编制2021年部门整体支出绩效目标的通知》等文件的要求，秉着独立、客观、公正的原则，根据设定的绩效目标，运用科学、合理的绩效评价指标、评价标准和评价方法，对整体支出的绩效目标完成情况、产出与效果、预算管理水平等进行绩效评价。现将绩效评价结果报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157"/>
        <w:jc w:val="left"/>
      </w:pPr>
      <w:r>
        <w:rPr>
          <w:rFonts w:hint="eastAsia" w:ascii="仿宋" w:hAnsi="仿宋" w:eastAsia="仿宋" w:cs="仿宋"/>
          <w:b/>
          <w:bCs/>
          <w:i w:val="0"/>
          <w:iCs w:val="0"/>
          <w:caps w:val="0"/>
          <w:color w:val="1E1E1E"/>
          <w:spacing w:val="0"/>
          <w:kern w:val="0"/>
          <w:sz w:val="32"/>
          <w:szCs w:val="32"/>
          <w:lang w:val="en-US" w:eastAsia="zh-CN" w:bidi="ar"/>
        </w:rPr>
        <w:t>一、部门概况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0"/>
        <w:jc w:val="left"/>
      </w:pPr>
      <w:r>
        <w:rPr>
          <w:rFonts w:hint="eastAsia" w:ascii="仿宋" w:hAnsi="仿宋" w:eastAsia="仿宋" w:cs="仿宋"/>
          <w:b/>
          <w:bCs/>
          <w:i w:val="0"/>
          <w:iCs w:val="0"/>
          <w:caps w:val="0"/>
          <w:color w:val="1E1E1E"/>
          <w:spacing w:val="0"/>
          <w:kern w:val="0"/>
          <w:sz w:val="32"/>
          <w:szCs w:val="32"/>
          <w:lang w:val="en-US" w:eastAsia="zh-CN" w:bidi="ar"/>
        </w:rPr>
        <w:t>（一）部门基本情况</w:t>
      </w:r>
    </w:p>
    <w:p>
      <w:pPr>
        <w:ind w:firstLine="640" w:firstLineChars="200"/>
        <w:rPr>
          <w:rFonts w:hint="eastAsia" w:ascii="仿宋_GB2312" w:hAnsi="宋体" w:eastAsia="仿宋_GB2312"/>
          <w:color w:val="auto"/>
          <w:sz w:val="32"/>
          <w:szCs w:val="32"/>
          <w:highlight w:val="none"/>
        </w:rPr>
      </w:pPr>
      <w:r>
        <w:rPr>
          <w:rFonts w:hint="eastAsia" w:ascii="仿宋_GB2312" w:hAnsi="仿宋" w:eastAsia="仿宋_GB2312"/>
          <w:color w:val="auto"/>
          <w:sz w:val="32"/>
          <w:szCs w:val="32"/>
          <w:highlight w:val="none"/>
          <w:lang w:val="en-US" w:eastAsia="zh-CN"/>
        </w:rPr>
        <w:t>1、</w:t>
      </w:r>
      <w:r>
        <w:rPr>
          <w:rFonts w:hint="eastAsia" w:ascii="仿宋_GB2312" w:hAnsi="仿宋" w:eastAsia="仿宋_GB2312"/>
          <w:sz w:val="32"/>
          <w:szCs w:val="32"/>
          <w:highlight w:val="none"/>
          <w:lang w:val="en-US" w:eastAsia="zh-CN"/>
        </w:rPr>
        <w:t>本部门内设机构包括：</w:t>
      </w:r>
      <w:r>
        <w:rPr>
          <w:rFonts w:hint="eastAsia" w:ascii="仿宋_GB2312" w:hAnsi="仿宋" w:eastAsia="仿宋_GB2312"/>
          <w:sz w:val="32"/>
          <w:szCs w:val="32"/>
          <w:highlight w:val="none"/>
        </w:rPr>
        <w:t>办公室、</w:t>
      </w:r>
      <w:r>
        <w:rPr>
          <w:rFonts w:hint="eastAsia" w:ascii="仿宋_GB2312" w:hAnsi="仿宋" w:eastAsia="仿宋_GB2312"/>
          <w:sz w:val="32"/>
          <w:szCs w:val="32"/>
          <w:highlight w:val="none"/>
          <w:lang w:val="en-US" w:eastAsia="zh-CN"/>
        </w:rPr>
        <w:t>财务</w:t>
      </w:r>
      <w:r>
        <w:rPr>
          <w:rFonts w:hint="eastAsia" w:ascii="仿宋_GB2312" w:hAnsi="仿宋" w:eastAsia="仿宋_GB2312"/>
          <w:sz w:val="32"/>
          <w:szCs w:val="32"/>
          <w:highlight w:val="none"/>
        </w:rPr>
        <w:t>股、</w:t>
      </w:r>
      <w:r>
        <w:rPr>
          <w:rFonts w:hint="eastAsia" w:ascii="仿宋_GB2312" w:hAnsi="仿宋" w:eastAsia="仿宋_GB2312"/>
          <w:sz w:val="32"/>
          <w:szCs w:val="32"/>
          <w:highlight w:val="none"/>
          <w:lang w:val="en-US" w:eastAsia="zh-CN"/>
        </w:rPr>
        <w:t>道路</w:t>
      </w:r>
      <w:r>
        <w:rPr>
          <w:rFonts w:hint="eastAsia" w:ascii="仿宋_GB2312" w:hAnsi="仿宋" w:eastAsia="仿宋_GB2312"/>
          <w:sz w:val="32"/>
          <w:szCs w:val="32"/>
          <w:highlight w:val="none"/>
        </w:rPr>
        <w:t>股、</w:t>
      </w:r>
      <w:r>
        <w:rPr>
          <w:rFonts w:hint="eastAsia" w:ascii="仿宋_GB2312" w:hAnsi="仿宋" w:eastAsia="仿宋_GB2312"/>
          <w:sz w:val="32"/>
          <w:szCs w:val="32"/>
          <w:highlight w:val="none"/>
          <w:lang w:val="en-US" w:eastAsia="zh-CN"/>
        </w:rPr>
        <w:t>养护中心</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法制办</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安全办</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企业</w:t>
      </w:r>
      <w:r>
        <w:rPr>
          <w:rFonts w:hint="eastAsia" w:ascii="仿宋_GB2312" w:hAnsi="仿宋" w:eastAsia="仿宋_GB2312"/>
          <w:sz w:val="32"/>
          <w:szCs w:val="32"/>
          <w:highlight w:val="none"/>
        </w:rPr>
        <w:t>股、</w:t>
      </w:r>
      <w:r>
        <w:rPr>
          <w:rFonts w:hint="eastAsia" w:ascii="仿宋_GB2312" w:hAnsi="仿宋" w:eastAsia="仿宋_GB2312"/>
          <w:sz w:val="32"/>
          <w:szCs w:val="32"/>
          <w:highlight w:val="none"/>
          <w:lang w:val="en-US" w:eastAsia="zh-CN"/>
        </w:rPr>
        <w:t>质监站</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党群办</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交通运输行政执法大队10</w:t>
      </w:r>
      <w:r>
        <w:rPr>
          <w:rFonts w:hint="eastAsia" w:ascii="仿宋_GB2312" w:hAnsi="仿宋" w:eastAsia="仿宋_GB2312"/>
          <w:sz w:val="32"/>
          <w:szCs w:val="32"/>
          <w:highlight w:val="none"/>
        </w:rPr>
        <w:t>个股室。</w:t>
      </w:r>
      <w:r>
        <w:rPr>
          <w:rFonts w:hint="eastAsia" w:ascii="仿宋_GB2312" w:hAnsi="宋体" w:eastAsia="仿宋_GB2312"/>
          <w:sz w:val="32"/>
          <w:szCs w:val="32"/>
          <w:highlight w:val="none"/>
        </w:rPr>
        <w:t>下属事业单位5个，分别为曲沃县城市客运</w:t>
      </w:r>
      <w:r>
        <w:rPr>
          <w:rFonts w:hint="eastAsia" w:ascii="仿宋_GB2312" w:hAnsi="宋体" w:eastAsia="仿宋_GB2312"/>
          <w:sz w:val="32"/>
          <w:szCs w:val="32"/>
          <w:highlight w:val="none"/>
          <w:lang w:val="en-US" w:eastAsia="zh-CN"/>
        </w:rPr>
        <w:t>服务中心</w:t>
      </w:r>
      <w:r>
        <w:rPr>
          <w:rFonts w:hint="eastAsia" w:ascii="仿宋_GB2312" w:hAnsi="宋体" w:eastAsia="仿宋_GB2312"/>
          <w:sz w:val="32"/>
          <w:szCs w:val="32"/>
          <w:highlight w:val="none"/>
        </w:rPr>
        <w:t>、曲沃县</w:t>
      </w:r>
      <w:r>
        <w:rPr>
          <w:rFonts w:hint="eastAsia" w:ascii="仿宋_GB2312" w:hAnsi="宋体" w:eastAsia="仿宋_GB2312"/>
          <w:sz w:val="32"/>
          <w:szCs w:val="32"/>
          <w:highlight w:val="none"/>
          <w:lang w:val="en-US" w:eastAsia="zh-CN"/>
        </w:rPr>
        <w:t>交通道路运输事业发展中心、</w:t>
      </w:r>
      <w:r>
        <w:rPr>
          <w:rFonts w:hint="eastAsia" w:ascii="仿宋_GB2312" w:hAnsi="宋体" w:eastAsia="仿宋_GB2312"/>
          <w:sz w:val="32"/>
          <w:szCs w:val="32"/>
          <w:highlight w:val="none"/>
        </w:rPr>
        <w:t>曲沃县客运汽车站、曲沃县农村公路养护中心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曲沃县交通运输综合行政执法队</w:t>
      </w:r>
      <w:r>
        <w:rPr>
          <w:rFonts w:hint="eastAsia" w:ascii="仿宋_GB2312" w:hAnsi="宋体" w:eastAsia="仿宋_GB2312"/>
          <w:color w:val="auto"/>
          <w:sz w:val="32"/>
          <w:szCs w:val="32"/>
          <w:highlight w:val="none"/>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pPr>
      <w:r>
        <w:rPr>
          <w:rFonts w:hint="eastAsia" w:ascii="仿宋_GB2312" w:hAnsi="仿宋" w:eastAsia="仿宋_GB2312"/>
          <w:color w:val="auto"/>
          <w:sz w:val="32"/>
          <w:szCs w:val="32"/>
          <w:highlight w:val="none"/>
          <w:lang w:val="en-US" w:eastAsia="zh-CN"/>
        </w:rPr>
        <w:t>2、</w:t>
      </w:r>
      <w:r>
        <w:rPr>
          <w:rFonts w:hint="eastAsia" w:ascii="仿宋" w:hAnsi="仿宋" w:eastAsia="仿宋" w:cs="仿宋"/>
          <w:i w:val="0"/>
          <w:iCs w:val="0"/>
          <w:caps w:val="0"/>
          <w:color w:val="333333"/>
          <w:spacing w:val="0"/>
          <w:kern w:val="0"/>
          <w:sz w:val="32"/>
          <w:szCs w:val="32"/>
          <w:shd w:val="clear" w:fill="FFFFFF"/>
          <w:lang w:val="en-US" w:eastAsia="zh-CN" w:bidi="ar"/>
        </w:rPr>
        <w:t>2021年年初预算，编制人数113人，其中行政编制7人，实有人员102人。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3" w:firstLineChars="200"/>
        <w:jc w:val="left"/>
      </w:pPr>
      <w:r>
        <w:rPr>
          <w:rFonts w:hint="eastAsia" w:ascii="仿宋" w:hAnsi="仿宋" w:eastAsia="仿宋" w:cs="仿宋"/>
          <w:b/>
          <w:bCs/>
          <w:i w:val="0"/>
          <w:iCs w:val="0"/>
          <w:caps w:val="0"/>
          <w:color w:val="1E1E1E"/>
          <w:spacing w:val="0"/>
          <w:kern w:val="0"/>
          <w:sz w:val="32"/>
          <w:szCs w:val="32"/>
          <w:lang w:val="en-US" w:eastAsia="zh-CN" w:bidi="ar"/>
        </w:rPr>
        <w:t>（二）主要工作职责</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1、</w:t>
      </w:r>
      <w:r>
        <w:rPr>
          <w:rFonts w:hint="eastAsia" w:ascii="仿宋_GB2312" w:eastAsia="仿宋_GB2312"/>
          <w:color w:val="auto"/>
          <w:sz w:val="32"/>
          <w:szCs w:val="32"/>
          <w:highlight w:val="none"/>
        </w:rPr>
        <w:t>贯彻执行国家关于交通运输的法律法规和方针政策；结合全县国民经济和社会发展需要，拟定全县交通运输发展战略建议。</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2、</w:t>
      </w:r>
      <w:r>
        <w:rPr>
          <w:rFonts w:hint="eastAsia" w:ascii="仿宋_GB2312" w:eastAsia="仿宋_GB2312"/>
          <w:color w:val="auto"/>
          <w:sz w:val="32"/>
          <w:szCs w:val="32"/>
          <w:highlight w:val="none"/>
        </w:rPr>
        <w:t>承担涉及全县综合交通运输体系的规划协调工作，会同有关部门组织编制全县综合交通运输体系规划。指导全县交通运输枢纽规划和管理。</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3、</w:t>
      </w:r>
      <w:r>
        <w:rPr>
          <w:rFonts w:hint="eastAsia" w:ascii="仿宋_GB2312" w:eastAsia="仿宋_GB2312"/>
          <w:color w:val="auto"/>
          <w:sz w:val="32"/>
          <w:szCs w:val="32"/>
          <w:highlight w:val="none"/>
        </w:rPr>
        <w:t>组织拟订并监督实施全县公路、水路行业规划。参与拟订全县物流发展战略和规划，拟订有关制度、标准并监督实施。指导全县公路、水路行业有关体制改革工作。</w:t>
      </w:r>
    </w:p>
    <w:p>
      <w:pPr>
        <w:spacing w:line="580" w:lineRule="exact"/>
        <w:ind w:firstLine="640" w:firstLineChars="200"/>
        <w:rPr>
          <w:rFonts w:hint="eastAsia" w:ascii="仿宋_GB2312" w:hAnsi="ˎ̥,Verdana,Arial" w:eastAsia="仿宋_GB2312" w:cs="宋体"/>
          <w:color w:val="auto"/>
          <w:kern w:val="0"/>
          <w:sz w:val="32"/>
          <w:szCs w:val="32"/>
          <w:highlight w:val="none"/>
          <w:lang w:val="en-US" w:eastAsia="zh-CN"/>
        </w:rPr>
      </w:pPr>
      <w:r>
        <w:rPr>
          <w:rFonts w:hint="eastAsia" w:ascii="仿宋_GB2312" w:hAnsi="ˎ̥,Verdana,Arial" w:eastAsia="仿宋_GB2312" w:cs="宋体"/>
          <w:color w:val="auto"/>
          <w:kern w:val="0"/>
          <w:sz w:val="32"/>
          <w:szCs w:val="32"/>
          <w:highlight w:val="none"/>
          <w:lang w:val="en-US" w:eastAsia="zh-CN"/>
        </w:rPr>
        <w:t>4、</w:t>
      </w:r>
      <w:r>
        <w:rPr>
          <w:rFonts w:hint="eastAsia" w:ascii="仿宋_GB2312" w:eastAsia="仿宋_GB2312"/>
          <w:color w:val="auto"/>
          <w:sz w:val="32"/>
          <w:szCs w:val="32"/>
          <w:highlight w:val="none"/>
        </w:rPr>
        <w:t>承担全县公路、水路运输市场监管责任。组织制定和落实全县公路、水路运输有关政策、准入制度、技术标准和运营规范并监督实施。负责交通运输行政执法行为的监督管理；指导城乡客运及有关设施规划与管理工作，指导出租汽车行业管理工作；指导城市公交客运的运营管理；承担全县水路运输管理工作。</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5、</w:t>
      </w:r>
      <w:r>
        <w:rPr>
          <w:rFonts w:hint="eastAsia" w:ascii="仿宋_GB2312" w:eastAsia="仿宋_GB2312"/>
          <w:color w:val="auto"/>
          <w:sz w:val="32"/>
          <w:szCs w:val="32"/>
          <w:highlight w:val="none"/>
        </w:rPr>
        <w:t>承担水上交通安全监管责任。负责水上交通管制、船舶及相关水上设施检验、登记和防止污染、水上消防、航行保障、应急救助、船舶与渡口设施保安及危险品运输监督管理等工作。负责船员管理的有关工作。负责全县水上交通安全事故、船舶及相关水上设施污染事故的应急处理。指导全县水上安全监管工作。</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6、</w:t>
      </w:r>
      <w:r>
        <w:rPr>
          <w:rFonts w:hint="eastAsia" w:ascii="仿宋_GB2312" w:eastAsia="仿宋_GB2312"/>
          <w:color w:val="auto"/>
          <w:sz w:val="32"/>
          <w:szCs w:val="32"/>
          <w:highlight w:val="none"/>
        </w:rPr>
        <w:t>负责提出全县公路、水路固定资产投资规模和方向、国家及省市县级财政性资金安排意见，按县政府和市交通运输局确定的公路、水路等基础设施发展目标，科学安排规划内和年度计划内固定资产投资项目。</w:t>
      </w:r>
    </w:p>
    <w:p>
      <w:pPr>
        <w:spacing w:line="580" w:lineRule="exact"/>
        <w:ind w:firstLine="640" w:firstLineChars="200"/>
        <w:rPr>
          <w:rFonts w:hint="eastAsia" w:ascii="仿宋_GB2312" w:hAnsi="宋体" w:eastAsia="仿宋_GB2312"/>
          <w:color w:val="auto"/>
          <w:sz w:val="32"/>
          <w:highlight w:val="none"/>
        </w:rPr>
      </w:pPr>
      <w:r>
        <w:rPr>
          <w:rFonts w:hint="eastAsia" w:ascii="仿宋_GB2312" w:hAnsi="ˎ̥,Verdana,Arial" w:eastAsia="仿宋_GB2312" w:cs="宋体"/>
          <w:color w:val="auto"/>
          <w:kern w:val="0"/>
          <w:sz w:val="32"/>
          <w:szCs w:val="32"/>
          <w:highlight w:val="none"/>
          <w:lang w:val="en-US" w:eastAsia="zh-CN"/>
        </w:rPr>
        <w:t>7、</w:t>
      </w:r>
      <w:r>
        <w:rPr>
          <w:rFonts w:hint="eastAsia" w:ascii="仿宋_GB2312" w:eastAsia="仿宋_GB2312"/>
          <w:color w:val="auto"/>
          <w:sz w:val="32"/>
          <w:szCs w:val="32"/>
          <w:highlight w:val="none"/>
        </w:rPr>
        <w:t>承担公路、水路建设市场监管责任。拟定全县公路、水路工程建设相关制度，监督实施行业技术标准；组织实施公路、水路重点工程建设和工程质量、安全生产监督管理工作。指导组织全县交通运输基础设施管理和维护，承担有关重要设施的管理和维护。按规定负责渡口规划和岸线使用管理工作。</w:t>
      </w:r>
    </w:p>
    <w:p>
      <w:pPr>
        <w:spacing w:line="580" w:lineRule="exact"/>
        <w:ind w:firstLine="640" w:firstLineChars="200"/>
        <w:rPr>
          <w:rFonts w:hint="eastAsia" w:ascii="仿宋_GB2312" w:hAnsi="宋体" w:eastAsia="仿宋_GB2312"/>
          <w:color w:val="auto"/>
          <w:sz w:val="32"/>
          <w:highlight w:val="none"/>
        </w:rPr>
      </w:pPr>
      <w:r>
        <w:rPr>
          <w:rFonts w:hint="eastAsia" w:ascii="仿宋_GB2312" w:hAnsi="ˎ̥,Verdana,Arial" w:eastAsia="仿宋_GB2312" w:cs="宋体"/>
          <w:color w:val="auto"/>
          <w:kern w:val="0"/>
          <w:sz w:val="32"/>
          <w:szCs w:val="32"/>
          <w:highlight w:val="none"/>
          <w:lang w:val="en-US" w:eastAsia="zh-CN"/>
        </w:rPr>
        <w:t>8、</w:t>
      </w:r>
      <w:r>
        <w:rPr>
          <w:rFonts w:hint="eastAsia" w:ascii="仿宋_GB2312" w:hAnsi="宋体" w:eastAsia="仿宋_GB2312"/>
          <w:color w:val="auto"/>
          <w:sz w:val="32"/>
          <w:highlight w:val="none"/>
        </w:rPr>
        <w:t>负责组织全县农村公路的建设、管理和养护；指导全县地方公路网络化建设以及公路行业管理；对全县农村公路建设工程实施质量监督。负责全县农村公路的运政、路政等管理工作。指导全县车辆超限治理工作，并对相关治超的政策、法规落实情况实施监督、检查和考核。</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9、</w:t>
      </w:r>
      <w:r>
        <w:rPr>
          <w:rFonts w:hint="eastAsia" w:ascii="仿宋_GB2312" w:hAnsi="宋体" w:eastAsia="仿宋_GB2312"/>
          <w:color w:val="auto"/>
          <w:sz w:val="32"/>
          <w:highlight w:val="none"/>
        </w:rPr>
        <w:t>指导全县公路、水路行业安全生产和应急管理工作。按规定组织协调重点物资和紧急客货运输；负责全县农村公路网的运行监测和协调；承担国防动员交通战备有关工作</w:t>
      </w:r>
      <w:r>
        <w:rPr>
          <w:rFonts w:hint="eastAsia" w:ascii="仿宋_GB2312" w:eastAsia="仿宋_GB2312"/>
          <w:color w:val="auto"/>
          <w:sz w:val="32"/>
          <w:szCs w:val="32"/>
          <w:highlight w:val="none"/>
        </w:rPr>
        <w:t>；指导全县交通运输行业安全保卫工作。</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10、</w:t>
      </w:r>
      <w:r>
        <w:rPr>
          <w:rFonts w:hint="eastAsia" w:ascii="仿宋_GB2312" w:eastAsia="仿宋_GB2312"/>
          <w:color w:val="auto"/>
          <w:sz w:val="32"/>
          <w:szCs w:val="32"/>
          <w:highlight w:val="none"/>
        </w:rPr>
        <w:t>指导全县交通运输信息化建设、监测分析运行情况；开展相关统计工作，发布有关信息。组织和指导全县公路、水路行业科技开发、环境保护和节能减排等工作。</w:t>
      </w:r>
    </w:p>
    <w:p>
      <w:pPr>
        <w:spacing w:line="580" w:lineRule="exact"/>
        <w:ind w:firstLine="640" w:firstLineChars="200"/>
        <w:rPr>
          <w:rFonts w:hint="eastAsia" w:ascii="仿宋_GB2312" w:eastAsia="仿宋_GB2312"/>
          <w:color w:val="auto"/>
          <w:sz w:val="32"/>
          <w:szCs w:val="32"/>
          <w:highlight w:val="none"/>
        </w:rPr>
      </w:pPr>
      <w:r>
        <w:rPr>
          <w:rFonts w:hint="eastAsia" w:ascii="仿宋_GB2312" w:hAnsi="ˎ̥,Verdana,Arial" w:eastAsia="仿宋_GB2312" w:cs="宋体"/>
          <w:color w:val="auto"/>
          <w:kern w:val="0"/>
          <w:sz w:val="32"/>
          <w:szCs w:val="32"/>
          <w:highlight w:val="none"/>
          <w:lang w:val="en-US" w:eastAsia="zh-CN"/>
        </w:rPr>
        <w:t>11、</w:t>
      </w:r>
      <w:r>
        <w:rPr>
          <w:rFonts w:hint="eastAsia" w:ascii="仿宋_GB2312" w:eastAsia="仿宋_GB2312"/>
          <w:color w:val="auto"/>
          <w:sz w:val="32"/>
          <w:szCs w:val="32"/>
          <w:highlight w:val="none"/>
        </w:rPr>
        <w:t>指导全县交通运输行业职工队伍建设。负责交通运输行业涉外工作和引进外资工作。</w:t>
      </w:r>
    </w:p>
    <w:p>
      <w:pPr>
        <w:spacing w:line="580" w:lineRule="exact"/>
        <w:ind w:firstLine="640" w:firstLineChars="200"/>
        <w:rPr>
          <w:rFonts w:hint="eastAsia" w:ascii="仿宋_GB2312" w:eastAsia="仿宋_GB2312"/>
          <w:color w:val="auto"/>
          <w:sz w:val="32"/>
          <w:szCs w:val="32"/>
          <w:highlight w:val="none"/>
        </w:rPr>
      </w:pPr>
      <w:r>
        <w:rPr>
          <w:rFonts w:hint="eastAsia" w:ascii="仿宋_GB2312"/>
          <w:color w:val="auto"/>
          <w:sz w:val="32"/>
          <w:szCs w:val="32"/>
          <w:highlight w:val="none"/>
          <w:lang w:val="en-US" w:eastAsia="zh-CN"/>
        </w:rPr>
        <w:t>12、</w:t>
      </w:r>
      <w:r>
        <w:rPr>
          <w:rFonts w:hint="eastAsia" w:ascii="仿宋_GB2312" w:eastAsia="仿宋_GB2312"/>
          <w:color w:val="auto"/>
          <w:sz w:val="32"/>
          <w:szCs w:val="32"/>
          <w:highlight w:val="none"/>
          <w:lang w:val="en-US" w:eastAsia="zh-CN"/>
        </w:rPr>
        <w:t>完成县委县政府</w:t>
      </w:r>
      <w:r>
        <w:rPr>
          <w:rFonts w:hint="eastAsia" w:ascii="仿宋_GB2312" w:eastAsia="仿宋_GB2312"/>
          <w:color w:val="auto"/>
          <w:sz w:val="32"/>
          <w:szCs w:val="32"/>
          <w:highlight w:val="none"/>
        </w:rPr>
        <w:t>交办的其他事项。</w:t>
      </w:r>
      <w:r>
        <w:rPr>
          <w:rFonts w:ascii="仿宋_GB2312" w:hAnsi="ˎ̥,Verdana,Arial" w:eastAsia="仿宋_GB2312" w:cs="宋体"/>
          <w:color w:val="auto"/>
          <w:kern w:val="0"/>
          <w:sz w:val="32"/>
          <w:szCs w:val="32"/>
          <w:highlight w:val="none"/>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0"/>
        <w:jc w:val="left"/>
      </w:pPr>
      <w:r>
        <w:rPr>
          <w:rFonts w:hint="eastAsia" w:ascii="仿宋" w:hAnsi="仿宋" w:eastAsia="仿宋" w:cs="仿宋"/>
          <w:b/>
          <w:bCs/>
          <w:i w:val="0"/>
          <w:iCs w:val="0"/>
          <w:caps w:val="0"/>
          <w:color w:val="1E1E1E"/>
          <w:spacing w:val="0"/>
          <w:kern w:val="0"/>
          <w:sz w:val="32"/>
          <w:szCs w:val="32"/>
          <w:lang w:val="en-US" w:eastAsia="zh-CN" w:bidi="ar"/>
        </w:rPr>
        <w:t>（三）2021年度工作计划</w:t>
      </w:r>
    </w:p>
    <w:p>
      <w:pPr>
        <w:keepNext w:val="0"/>
        <w:keepLines w:val="0"/>
        <w:pageBreakBefore w:val="0"/>
        <w:widowControl w:val="0"/>
        <w:kinsoku/>
        <w:wordWrap/>
        <w:overflowPunct/>
        <w:topLinePunct w:val="0"/>
        <w:autoSpaceDE/>
        <w:autoSpaceDN/>
        <w:bidi w:val="0"/>
        <w:snapToGrid/>
        <w:spacing w:line="64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按照</w:t>
      </w:r>
      <w:r>
        <w:rPr>
          <w:rFonts w:hint="eastAsia" w:ascii="仿宋_GB2312" w:eastAsia="仿宋_GB2312"/>
          <w:sz w:val="32"/>
          <w:szCs w:val="32"/>
          <w:highlight w:val="none"/>
        </w:rPr>
        <w:t>县委、县政府对全县交通</w:t>
      </w:r>
      <w:r>
        <w:rPr>
          <w:rFonts w:hint="eastAsia" w:ascii="仿宋_GB2312" w:eastAsia="仿宋_GB2312"/>
          <w:sz w:val="32"/>
          <w:szCs w:val="32"/>
          <w:highlight w:val="none"/>
          <w:lang w:val="en-US" w:eastAsia="zh-CN"/>
        </w:rPr>
        <w:t>运输工作</w:t>
      </w:r>
      <w:r>
        <w:rPr>
          <w:rFonts w:hint="eastAsia" w:ascii="仿宋_GB2312" w:eastAsia="仿宋_GB2312"/>
          <w:sz w:val="32"/>
          <w:szCs w:val="32"/>
          <w:highlight w:val="none"/>
        </w:rPr>
        <w:t>的总体部署和省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市交通主管部门相关要求，</w:t>
      </w:r>
      <w:r>
        <w:rPr>
          <w:rFonts w:hint="eastAsia" w:ascii="仿宋_GB2312" w:eastAsia="仿宋_GB2312"/>
          <w:sz w:val="32"/>
          <w:szCs w:val="32"/>
          <w:highlight w:val="none"/>
          <w:lang w:val="en-US" w:eastAsia="zh-CN"/>
        </w:rPr>
        <w:t>结合我县交通工作实际，拟实施五项工作。</w:t>
      </w:r>
    </w:p>
    <w:p>
      <w:pPr>
        <w:keepNext w:val="0"/>
        <w:keepLines w:val="0"/>
        <w:pageBreakBefore w:val="0"/>
        <w:widowControl w:val="0"/>
        <w:numPr>
          <w:ilvl w:val="0"/>
          <w:numId w:val="0"/>
        </w:numPr>
        <w:kinsoku/>
        <w:wordWrap/>
        <w:overflowPunct/>
        <w:topLinePunct w:val="0"/>
        <w:autoSpaceDE/>
        <w:autoSpaceDN/>
        <w:bidi w:val="0"/>
        <w:snapToGrid/>
        <w:spacing w:line="6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lang w:val="en-US" w:eastAsia="zh-CN"/>
        </w:rPr>
        <w:t>（1）结合</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交通强国建设纲要</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完成交通运输系统“十四五”规划的编制工作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w:t>
      </w:r>
    </w:p>
    <w:p>
      <w:pPr>
        <w:keepNext w:val="0"/>
        <w:keepLines w:val="0"/>
        <w:pageBreakBefore w:val="0"/>
        <w:widowControl w:val="0"/>
        <w:numPr>
          <w:ilvl w:val="0"/>
          <w:numId w:val="0"/>
        </w:numPr>
        <w:kinsoku/>
        <w:wordWrap/>
        <w:overflowPunct/>
        <w:topLinePunct w:val="0"/>
        <w:autoSpaceDE/>
        <w:autoSpaceDN/>
        <w:bidi w:val="0"/>
        <w:snapToGrid/>
        <w:spacing w:line="6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lang w:val="en-US" w:eastAsia="zh-CN"/>
        </w:rPr>
        <w:t>（2）完成好2020年工程项目续建任务</w:t>
      </w:r>
      <w:r>
        <w:rPr>
          <w:rFonts w:hint="eastAsia" w:ascii="仿宋_GB2312" w:eastAsia="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6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楷体" w:eastAsia="仿宋_GB2312" w:cs="楷体"/>
          <w:b w:val="0"/>
          <w:bCs/>
          <w:sz w:val="32"/>
          <w:szCs w:val="32"/>
          <w:highlight w:val="none"/>
          <w:lang w:val="en-US" w:eastAsia="zh-CN"/>
        </w:rPr>
        <w:t>（3）配合完成好</w:t>
      </w:r>
      <w:r>
        <w:rPr>
          <w:rFonts w:hint="eastAsia" w:ascii="仿宋_GB2312" w:hAnsi="楷体" w:eastAsia="仿宋_GB2312" w:cs="楷体"/>
          <w:b w:val="0"/>
          <w:bCs/>
          <w:sz w:val="32"/>
          <w:szCs w:val="32"/>
          <w:highlight w:val="none"/>
        </w:rPr>
        <w:t>国道G108襄汾--曲沃--侯马（曲沃段）过境改线工程</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　　　</w:t>
      </w:r>
    </w:p>
    <w:p>
      <w:pPr>
        <w:keepNext w:val="0"/>
        <w:keepLines w:val="0"/>
        <w:pageBreakBefore w:val="0"/>
        <w:widowControl w:val="0"/>
        <w:numPr>
          <w:ilvl w:val="0"/>
          <w:numId w:val="0"/>
        </w:numPr>
        <w:kinsoku/>
        <w:wordWrap/>
        <w:overflowPunct/>
        <w:topLinePunct w:val="0"/>
        <w:autoSpaceDE/>
        <w:autoSpaceDN/>
        <w:bidi w:val="0"/>
        <w:snapToGrid/>
        <w:spacing w:line="64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（4）全面推行</w:t>
      </w:r>
      <w:r>
        <w:rPr>
          <w:rFonts w:hint="eastAsia" w:ascii="仿宋_GB2312" w:hAnsi="仿宋_GB2312" w:eastAsia="仿宋_GB2312" w:cs="仿宋_GB2312"/>
          <w:b w:val="0"/>
          <w:bCs w:val="0"/>
          <w:sz w:val="32"/>
          <w:szCs w:val="32"/>
          <w:highlight w:val="none"/>
          <w:lang w:val="en-US" w:eastAsia="zh-CN"/>
        </w:rPr>
        <w:t>“路长制”，健全全县农村公路养护体制，构建县、乡、村三级农村公路制职责明确、齐抓共管、高效运转的工作机制。</w:t>
      </w:r>
    </w:p>
    <w:p>
      <w:pPr>
        <w:pStyle w:val="9"/>
        <w:numPr>
          <w:ilvl w:val="0"/>
          <w:numId w:val="0"/>
        </w:numPr>
        <w:ind w:firstLine="640" w:firstLineChars="200"/>
        <w:rPr>
          <w:rFonts w:hint="eastAsia" w:ascii="黑体" w:hAnsi="黑体" w:eastAsia="黑体" w:cs="黑体"/>
          <w:color w:val="FF0000"/>
          <w:sz w:val="32"/>
          <w:szCs w:val="32"/>
          <w:highlight w:val="none"/>
          <w:lang w:val="en-US" w:eastAsia="zh-CN"/>
        </w:rPr>
      </w:pPr>
      <w:r>
        <w:rPr>
          <w:rFonts w:hint="eastAsia"/>
          <w:highlight w:val="none"/>
          <w:lang w:val="en-US" w:eastAsia="zh-CN"/>
        </w:rPr>
        <w:t>（5）全面推进养护市场化改革，全面落实养护资金，确保资金到位，实行专业化、标准化养护。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二、部门整体支出规模、使用方向和内容（金额：万元）。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（一）年度预算收支情况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1.年初预算收支</w:t>
      </w:r>
    </w:p>
    <w:p>
      <w:pPr>
        <w:ind w:firstLine="640" w:firstLineChars="200"/>
        <w:rPr>
          <w:rFonts w:hint="eastAsia" w:ascii="仿宋_GB2312" w:hAnsi="仿宋" w:eastAsia="仿宋_GB2312"/>
          <w:color w:val="auto"/>
          <w:sz w:val="32"/>
          <w:szCs w:val="32"/>
          <w:highlight w:val="none"/>
          <w:u w:val="none"/>
          <w:lang w:val="en-US" w:eastAsia="zh-CN"/>
        </w:rPr>
      </w:pPr>
      <w:r>
        <w:rPr>
          <w:rFonts w:hint="eastAsia" w:ascii="仿宋" w:hAnsi="仿宋" w:eastAsia="仿宋" w:cs="仿宋"/>
          <w:i w:val="0"/>
          <w:iCs w:val="0"/>
          <w:caps w:val="0"/>
          <w:color w:val="1E1E1E"/>
          <w:spacing w:val="0"/>
          <w:kern w:val="0"/>
          <w:sz w:val="32"/>
          <w:szCs w:val="32"/>
          <w:lang w:val="en-US" w:eastAsia="zh-CN" w:bidi="ar"/>
        </w:rPr>
        <w:t> </w:t>
      </w:r>
      <w:r>
        <w:rPr>
          <w:rFonts w:hint="eastAsia" w:ascii="仿宋_GB2312" w:hAnsi="仿宋" w:eastAsia="仿宋_GB2312"/>
          <w:color w:val="auto"/>
          <w:sz w:val="32"/>
          <w:szCs w:val="32"/>
          <w:highlight w:val="none"/>
          <w:u w:val="single"/>
          <w:lang w:val="en-US" w:eastAsia="zh-CN"/>
        </w:rPr>
        <w:t>曲沃县交通运输局</w:t>
      </w:r>
      <w:r>
        <w:rPr>
          <w:rFonts w:hint="eastAsia" w:ascii="仿宋_GB2312" w:hAnsi="仿宋" w:eastAsia="仿宋_GB2312"/>
          <w:color w:val="auto"/>
          <w:sz w:val="32"/>
          <w:szCs w:val="32"/>
          <w:highlight w:val="none"/>
          <w:u w:val="none"/>
          <w:lang w:val="en-US" w:eastAsia="zh-CN"/>
        </w:rPr>
        <w:t>2021年度收入、支出预算总计</w:t>
      </w:r>
      <w:r>
        <w:rPr>
          <w:rFonts w:hint="eastAsia" w:ascii="仿宋_GB2312" w:hAnsi="仿宋" w:eastAsia="仿宋_GB2312"/>
          <w:color w:val="auto"/>
          <w:sz w:val="32"/>
          <w:szCs w:val="32"/>
          <w:highlight w:val="none"/>
          <w:u w:val="single"/>
          <w:lang w:val="en-US" w:eastAsia="zh-CN"/>
        </w:rPr>
        <w:t>1806.31</w:t>
      </w:r>
      <w:r>
        <w:rPr>
          <w:rFonts w:hint="eastAsia" w:ascii="仿宋_GB2312" w:hAnsi="仿宋" w:eastAsia="仿宋_GB2312"/>
          <w:color w:val="auto"/>
          <w:sz w:val="32"/>
          <w:szCs w:val="32"/>
          <w:highlight w:val="none"/>
          <w:u w:val="none"/>
          <w:lang w:val="en-US" w:eastAsia="zh-CN"/>
        </w:rPr>
        <w:t>万元，与上年相比收、支预算总计各减少</w:t>
      </w:r>
      <w:r>
        <w:rPr>
          <w:rFonts w:hint="eastAsia" w:ascii="仿宋_GB2312" w:hAnsi="仿宋" w:eastAsia="仿宋_GB2312"/>
          <w:color w:val="auto"/>
          <w:sz w:val="32"/>
          <w:szCs w:val="32"/>
          <w:highlight w:val="none"/>
          <w:u w:val="single"/>
          <w:lang w:val="en-US" w:eastAsia="zh-CN"/>
        </w:rPr>
        <w:t>1919.46</w:t>
      </w:r>
      <w:r>
        <w:rPr>
          <w:rFonts w:hint="eastAsia" w:ascii="仿宋_GB2312" w:hAnsi="仿宋" w:eastAsia="仿宋_GB2312"/>
          <w:color w:val="auto"/>
          <w:sz w:val="32"/>
          <w:szCs w:val="32"/>
          <w:highlight w:val="none"/>
          <w:u w:val="none"/>
          <w:lang w:val="en-US" w:eastAsia="zh-CN"/>
        </w:rPr>
        <w:t>万元，减少</w:t>
      </w:r>
      <w:r>
        <w:rPr>
          <w:rFonts w:hint="eastAsia" w:ascii="仿宋_GB2312" w:hAnsi="仿宋" w:eastAsia="仿宋_GB2312"/>
          <w:color w:val="auto"/>
          <w:sz w:val="32"/>
          <w:szCs w:val="32"/>
          <w:highlight w:val="none"/>
          <w:u w:val="single"/>
          <w:lang w:val="en-US" w:eastAsia="zh-CN"/>
        </w:rPr>
        <w:t>51.52</w:t>
      </w:r>
      <w:r>
        <w:rPr>
          <w:rFonts w:hint="eastAsia" w:ascii="仿宋_GB2312" w:hAnsi="仿宋" w:eastAsia="仿宋_GB2312"/>
          <w:color w:val="auto"/>
          <w:sz w:val="32"/>
          <w:szCs w:val="32"/>
          <w:highlight w:val="none"/>
          <w:u w:val="none"/>
          <w:lang w:val="en-US" w:eastAsia="zh-CN"/>
        </w:rPr>
        <w:t>%。其中：</w:t>
      </w:r>
    </w:p>
    <w:p>
      <w:pPr>
        <w:numPr>
          <w:ilvl w:val="0"/>
          <w:numId w:val="2"/>
        </w:numPr>
        <w:ind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收入预算总计</w:t>
      </w:r>
      <w:r>
        <w:rPr>
          <w:rFonts w:hint="eastAsia" w:ascii="仿宋_GB2312" w:hAnsi="仿宋" w:eastAsia="仿宋_GB2312"/>
          <w:color w:val="auto"/>
          <w:sz w:val="32"/>
          <w:szCs w:val="32"/>
          <w:highlight w:val="none"/>
          <w:u w:val="single"/>
          <w:lang w:val="en-US" w:eastAsia="zh-CN"/>
        </w:rPr>
        <w:t>1806.31</w:t>
      </w:r>
      <w:r>
        <w:rPr>
          <w:rFonts w:hint="eastAsia" w:ascii="仿宋_GB2312" w:hAnsi="仿宋" w:eastAsia="仿宋_GB2312"/>
          <w:color w:val="auto"/>
          <w:sz w:val="32"/>
          <w:szCs w:val="32"/>
          <w:highlight w:val="none"/>
          <w:u w:val="none"/>
          <w:lang w:val="en-US" w:eastAsia="zh-CN"/>
        </w:rPr>
        <w:t>万元。包括：</w:t>
      </w:r>
    </w:p>
    <w:p>
      <w:pPr>
        <w:numPr>
          <w:ilvl w:val="0"/>
          <w:numId w:val="3"/>
        </w:numPr>
        <w:ind w:left="640" w:leftChars="0" w:firstLine="0" w:firstLineChars="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财政拨款收入预算总计</w:t>
      </w:r>
      <w:r>
        <w:rPr>
          <w:rFonts w:hint="eastAsia" w:ascii="仿宋_GB2312" w:hAnsi="仿宋" w:eastAsia="仿宋_GB2312"/>
          <w:color w:val="auto"/>
          <w:sz w:val="32"/>
          <w:szCs w:val="32"/>
          <w:highlight w:val="none"/>
          <w:u w:val="single"/>
          <w:lang w:val="en-US" w:eastAsia="zh-CN"/>
        </w:rPr>
        <w:t>1806.31</w:t>
      </w:r>
      <w:r>
        <w:rPr>
          <w:rFonts w:hint="eastAsia" w:ascii="仿宋_GB2312" w:hAnsi="仿宋" w:eastAsia="仿宋_GB2312"/>
          <w:color w:val="auto"/>
          <w:sz w:val="32"/>
          <w:szCs w:val="32"/>
          <w:highlight w:val="none"/>
          <w:u w:val="none"/>
          <w:lang w:val="en-US" w:eastAsia="zh-CN"/>
        </w:rPr>
        <w:t>万元。</w:t>
      </w:r>
    </w:p>
    <w:p>
      <w:pPr>
        <w:numPr>
          <w:ilvl w:val="0"/>
          <w:numId w:val="4"/>
        </w:numPr>
        <w:ind w:left="0" w:leftChars="0" w:firstLine="640" w:firstLineChars="200"/>
        <w:rPr>
          <w:rFonts w:hint="eastAsia" w:ascii="仿宋_GB2312" w:hAnsi="仿宋" w:eastAsia="仿宋_GB2312"/>
          <w:color w:val="auto"/>
          <w:sz w:val="32"/>
          <w:szCs w:val="32"/>
          <w:highlight w:val="none"/>
          <w:u w:val="none"/>
          <w:lang w:val="en-US" w:eastAsia="zh-CN"/>
        </w:rPr>
      </w:pPr>
      <w:r>
        <w:rPr>
          <w:rFonts w:hint="eastAsia" w:ascii="仿宋_GB2312" w:hAnsi="仿宋" w:eastAsia="仿宋_GB2312"/>
          <w:color w:val="auto"/>
          <w:sz w:val="32"/>
          <w:szCs w:val="32"/>
          <w:highlight w:val="none"/>
          <w:u w:val="none"/>
          <w:lang w:val="en-US" w:eastAsia="zh-CN"/>
        </w:rPr>
        <w:t>一般公共预算收入预算</w:t>
      </w:r>
      <w:r>
        <w:rPr>
          <w:rFonts w:hint="eastAsia" w:ascii="仿宋_GB2312" w:hAnsi="仿宋" w:eastAsia="仿宋_GB2312"/>
          <w:color w:val="auto"/>
          <w:sz w:val="32"/>
          <w:szCs w:val="32"/>
          <w:highlight w:val="none"/>
          <w:u w:val="single"/>
          <w:lang w:val="en-US" w:eastAsia="zh-CN"/>
        </w:rPr>
        <w:t>1786.31</w:t>
      </w:r>
      <w:r>
        <w:rPr>
          <w:rFonts w:hint="eastAsia" w:ascii="仿宋_GB2312" w:hAnsi="仿宋" w:eastAsia="仿宋_GB2312"/>
          <w:color w:val="auto"/>
          <w:sz w:val="32"/>
          <w:szCs w:val="32"/>
          <w:highlight w:val="none"/>
          <w:u w:val="none"/>
          <w:lang w:val="en-US" w:eastAsia="zh-CN"/>
        </w:rPr>
        <w:t>万元，与上年相比减少</w:t>
      </w:r>
      <w:r>
        <w:rPr>
          <w:rFonts w:hint="eastAsia" w:ascii="仿宋_GB2312" w:hAnsi="仿宋" w:eastAsia="仿宋_GB2312"/>
          <w:color w:val="auto"/>
          <w:sz w:val="32"/>
          <w:szCs w:val="32"/>
          <w:highlight w:val="none"/>
          <w:u w:val="single"/>
          <w:lang w:val="en-US" w:eastAsia="zh-CN"/>
        </w:rPr>
        <w:t>78.93</w:t>
      </w:r>
      <w:r>
        <w:rPr>
          <w:rFonts w:hint="eastAsia" w:ascii="仿宋_GB2312" w:hAnsi="仿宋" w:eastAsia="仿宋_GB2312"/>
          <w:color w:val="auto"/>
          <w:sz w:val="32"/>
          <w:szCs w:val="32"/>
          <w:highlight w:val="none"/>
          <w:u w:val="none"/>
          <w:lang w:val="en-US" w:eastAsia="zh-CN"/>
        </w:rPr>
        <w:t>万元，减少</w:t>
      </w:r>
      <w:r>
        <w:rPr>
          <w:rFonts w:hint="eastAsia" w:ascii="仿宋_GB2312" w:hAnsi="仿宋" w:eastAsia="仿宋_GB2312"/>
          <w:color w:val="auto"/>
          <w:sz w:val="32"/>
          <w:szCs w:val="32"/>
          <w:highlight w:val="none"/>
          <w:u w:val="single"/>
          <w:lang w:val="en-US" w:eastAsia="zh-CN"/>
        </w:rPr>
        <w:t>4.62</w:t>
      </w:r>
      <w:r>
        <w:rPr>
          <w:rFonts w:hint="eastAsia" w:ascii="仿宋_GB2312" w:hAnsi="仿宋" w:eastAsia="仿宋_GB2312"/>
          <w:color w:val="auto"/>
          <w:sz w:val="32"/>
          <w:szCs w:val="32"/>
          <w:highlight w:val="none"/>
          <w:u w:val="none"/>
          <w:lang w:val="en-US" w:eastAsia="zh-CN"/>
        </w:rPr>
        <w:t>%。主要原因是2021年预算中项目资金数减少。</w:t>
      </w:r>
    </w:p>
    <w:p>
      <w:pPr>
        <w:numPr>
          <w:ilvl w:val="0"/>
          <w:numId w:val="4"/>
        </w:numPr>
        <w:ind w:left="0" w:leftChars="0" w:firstLine="640" w:firstLineChars="200"/>
      </w:pPr>
      <w:r>
        <w:rPr>
          <w:rFonts w:hint="eastAsia" w:ascii="仿宋_GB2312" w:hAnsi="仿宋" w:eastAsia="仿宋_GB2312"/>
          <w:color w:val="auto"/>
          <w:sz w:val="32"/>
          <w:szCs w:val="32"/>
          <w:highlight w:val="none"/>
          <w:u w:val="none"/>
          <w:lang w:val="en-US" w:eastAsia="zh-CN"/>
        </w:rPr>
        <w:t>政府性基金收入预算</w:t>
      </w:r>
      <w:r>
        <w:rPr>
          <w:rFonts w:hint="eastAsia" w:ascii="仿宋_GB2312" w:hAnsi="仿宋" w:eastAsia="仿宋_GB2312"/>
          <w:color w:val="auto"/>
          <w:sz w:val="32"/>
          <w:szCs w:val="32"/>
          <w:highlight w:val="none"/>
          <w:u w:val="single"/>
          <w:lang w:val="en-US" w:eastAsia="zh-CN"/>
        </w:rPr>
        <w:t>20</w:t>
      </w:r>
      <w:r>
        <w:rPr>
          <w:rFonts w:hint="eastAsia" w:ascii="仿宋_GB2312" w:hAnsi="仿宋" w:eastAsia="仿宋_GB2312"/>
          <w:color w:val="auto"/>
          <w:sz w:val="32"/>
          <w:szCs w:val="32"/>
          <w:highlight w:val="none"/>
          <w:u w:val="none"/>
          <w:lang w:val="en-US" w:eastAsia="zh-CN"/>
        </w:rPr>
        <w:t>万元，与上年相比减少</w:t>
      </w:r>
      <w:r>
        <w:rPr>
          <w:rFonts w:hint="eastAsia" w:ascii="仿宋_GB2312" w:hAnsi="仿宋" w:eastAsia="仿宋_GB2312"/>
          <w:color w:val="auto"/>
          <w:sz w:val="32"/>
          <w:szCs w:val="32"/>
          <w:highlight w:val="none"/>
          <w:u w:val="single"/>
          <w:lang w:val="en-US" w:eastAsia="zh-CN"/>
        </w:rPr>
        <w:t>1998.39</w:t>
      </w:r>
      <w:r>
        <w:rPr>
          <w:rFonts w:hint="eastAsia" w:ascii="仿宋_GB2312" w:hAnsi="仿宋" w:eastAsia="仿宋_GB2312"/>
          <w:color w:val="auto"/>
          <w:sz w:val="32"/>
          <w:szCs w:val="32"/>
          <w:highlight w:val="none"/>
          <w:u w:val="none"/>
          <w:lang w:val="en-US" w:eastAsia="zh-CN"/>
        </w:rPr>
        <w:t>万元，减少</w:t>
      </w:r>
      <w:r>
        <w:rPr>
          <w:rFonts w:hint="eastAsia" w:ascii="仿宋_GB2312" w:hAnsi="仿宋" w:eastAsia="仿宋_GB2312"/>
          <w:color w:val="auto"/>
          <w:sz w:val="32"/>
          <w:szCs w:val="32"/>
          <w:highlight w:val="none"/>
          <w:u w:val="single"/>
          <w:lang w:val="en-US" w:eastAsia="zh-CN"/>
        </w:rPr>
        <w:t>99.01</w:t>
      </w:r>
      <w:r>
        <w:rPr>
          <w:rFonts w:hint="eastAsia" w:ascii="仿宋_GB2312" w:hAnsi="仿宋" w:eastAsia="仿宋_GB2312"/>
          <w:color w:val="auto"/>
          <w:sz w:val="32"/>
          <w:szCs w:val="32"/>
          <w:highlight w:val="none"/>
          <w:u w:val="none"/>
          <w:lang w:val="en-US" w:eastAsia="zh-CN"/>
        </w:rPr>
        <w:t>%。主要原因是项目资金数减少。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2.财政预算整体支出使用范围、方向和内容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我局基本支出的范围和主要用途包括局机关的人员经费和日常公用经费及基本业务工作支出。具体包括：工资福利支出、对个人和家族的补助、商品和服务支出、其他资本性支出。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firstLine="643" w:firstLineChars="200"/>
        <w:jc w:val="left"/>
        <w:rPr>
          <w:b/>
          <w:bCs/>
        </w:rPr>
      </w:pPr>
      <w:r>
        <w:rPr>
          <w:rFonts w:hint="eastAsia" w:ascii="仿宋" w:hAnsi="仿宋" w:eastAsia="仿宋" w:cs="仿宋"/>
          <w:b/>
          <w:bCs/>
          <w:i w:val="0"/>
          <w:iCs w:val="0"/>
          <w:caps w:val="0"/>
          <w:color w:val="1E1E1E"/>
          <w:spacing w:val="0"/>
          <w:kern w:val="0"/>
          <w:sz w:val="32"/>
          <w:szCs w:val="32"/>
          <w:lang w:val="en-US" w:eastAsia="zh-CN" w:bidi="ar"/>
        </w:rPr>
        <w:t>（二）年度支出决算情况</w:t>
      </w:r>
    </w:p>
    <w:p>
      <w:pPr>
        <w:ind w:firstLine="645"/>
        <w:rPr>
          <w:rFonts w:hint="eastAsia" w:ascii="仿宋" w:hAnsi="仿宋" w:eastAsia="仿宋" w:cs="Times New Roman"/>
          <w:kern w:val="2"/>
          <w:sz w:val="32"/>
          <w:szCs w:val="32"/>
          <w:highlight w:val="none"/>
          <w:lang w:val="en-US" w:eastAsia="zh-CN" w:bidi="ar-SA"/>
        </w:rPr>
      </w:pPr>
      <w:r>
        <w:rPr>
          <w:rFonts w:hint="eastAsia" w:ascii="仿宋" w:hAnsi="仿宋" w:eastAsia="仿宋"/>
          <w:sz w:val="32"/>
          <w:szCs w:val="32"/>
          <w:highlight w:val="none"/>
        </w:rPr>
        <w:t>我单位</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年部门支出</w:t>
      </w:r>
      <w:r>
        <w:rPr>
          <w:rFonts w:hint="eastAsia" w:ascii="仿宋" w:hAnsi="仿宋" w:eastAsia="仿宋" w:cs="Times New Roman"/>
          <w:kern w:val="2"/>
          <w:sz w:val="32"/>
          <w:szCs w:val="32"/>
          <w:highlight w:val="none"/>
          <w:lang w:val="en-US" w:eastAsia="zh-CN" w:bidi="ar-SA"/>
        </w:rPr>
        <w:t>3214.83</w:t>
      </w:r>
      <w:r>
        <w:rPr>
          <w:rFonts w:hint="eastAsia" w:ascii="仿宋" w:hAnsi="仿宋" w:eastAsia="仿宋"/>
          <w:sz w:val="32"/>
          <w:szCs w:val="32"/>
          <w:highlight w:val="none"/>
        </w:rPr>
        <w:t>万元，</w:t>
      </w:r>
      <w:r>
        <w:rPr>
          <w:rFonts w:hint="default" w:ascii="仿宋" w:hAnsi="仿宋" w:eastAsia="仿宋" w:cs="Times New Roman"/>
          <w:kern w:val="2"/>
          <w:sz w:val="32"/>
          <w:szCs w:val="32"/>
          <w:highlight w:val="none"/>
          <w:lang w:val="en-US" w:eastAsia="zh-CN" w:bidi="ar-SA"/>
        </w:rPr>
        <w:t>与</w:t>
      </w:r>
      <w:r>
        <w:rPr>
          <w:rFonts w:hint="eastAsia" w:ascii="仿宋" w:hAnsi="仿宋" w:eastAsia="仿宋" w:cs="Times New Roman"/>
          <w:kern w:val="2"/>
          <w:sz w:val="32"/>
          <w:szCs w:val="32"/>
          <w:highlight w:val="none"/>
          <w:lang w:val="en-US" w:eastAsia="zh-CN" w:bidi="ar-SA"/>
        </w:rPr>
        <w:t>上</w:t>
      </w:r>
      <w:r>
        <w:rPr>
          <w:rFonts w:hint="default" w:ascii="仿宋" w:hAnsi="仿宋" w:eastAsia="仿宋" w:cs="Times New Roman"/>
          <w:kern w:val="2"/>
          <w:sz w:val="32"/>
          <w:szCs w:val="32"/>
          <w:highlight w:val="none"/>
          <w:lang w:val="en-US" w:eastAsia="zh-CN" w:bidi="ar-SA"/>
        </w:rPr>
        <w:t>年相比，</w:t>
      </w:r>
      <w:r>
        <w:rPr>
          <w:rFonts w:hint="eastAsia" w:ascii="仿宋" w:hAnsi="仿宋" w:eastAsia="仿宋" w:cs="Times New Roman"/>
          <w:kern w:val="2"/>
          <w:sz w:val="32"/>
          <w:szCs w:val="32"/>
          <w:highlight w:val="none"/>
          <w:lang w:val="en-US" w:eastAsia="zh-CN" w:bidi="ar-SA"/>
        </w:rPr>
        <w:t>减少286.98万元，减少8.2%，主要是因为当年安排项目资金减少相关支出减少</w:t>
      </w:r>
      <w:r>
        <w:rPr>
          <w:rFonts w:hint="default" w:ascii="仿宋" w:hAnsi="仿宋" w:eastAsia="仿宋" w:cs="Times New Roman"/>
          <w:kern w:val="2"/>
          <w:sz w:val="32"/>
          <w:szCs w:val="32"/>
          <w:highlight w:val="none"/>
          <w:lang w:val="en-US" w:eastAsia="zh-CN" w:bidi="ar-SA"/>
        </w:rPr>
        <w:t>。</w:t>
      </w:r>
      <w:r>
        <w:rPr>
          <w:rFonts w:hint="eastAsia" w:ascii="仿宋" w:hAnsi="仿宋" w:eastAsia="仿宋"/>
          <w:sz w:val="32"/>
          <w:szCs w:val="32"/>
          <w:highlight w:val="none"/>
        </w:rPr>
        <w:t>其中：</w:t>
      </w:r>
      <w:r>
        <w:rPr>
          <w:rFonts w:hint="eastAsia" w:ascii="仿宋" w:hAnsi="仿宋" w:eastAsia="仿宋"/>
          <w:sz w:val="32"/>
          <w:szCs w:val="32"/>
          <w:highlight w:val="none"/>
          <w:lang w:eastAsia="zh-CN"/>
        </w:rPr>
        <w:t>一般</w:t>
      </w:r>
      <w:r>
        <w:rPr>
          <w:rFonts w:hint="eastAsia" w:ascii="仿宋" w:hAnsi="仿宋" w:eastAsia="仿宋"/>
          <w:sz w:val="32"/>
          <w:szCs w:val="32"/>
          <w:highlight w:val="none"/>
        </w:rPr>
        <w:t>公共预算财政拨款支出</w:t>
      </w:r>
      <w:r>
        <w:rPr>
          <w:rFonts w:hint="eastAsia" w:ascii="仿宋" w:hAnsi="仿宋" w:eastAsia="仿宋"/>
          <w:sz w:val="32"/>
          <w:szCs w:val="32"/>
          <w:highlight w:val="none"/>
          <w:lang w:val="en-US" w:eastAsia="zh-CN"/>
        </w:rPr>
        <w:t>602.49</w:t>
      </w:r>
      <w:r>
        <w:rPr>
          <w:rFonts w:hint="eastAsia" w:ascii="仿宋" w:hAnsi="仿宋" w:eastAsia="仿宋"/>
          <w:sz w:val="32"/>
          <w:szCs w:val="32"/>
          <w:highlight w:val="none"/>
        </w:rPr>
        <w:t>万元，</w:t>
      </w:r>
      <w:r>
        <w:rPr>
          <w:rFonts w:hint="default" w:ascii="仿宋" w:hAnsi="仿宋" w:eastAsia="仿宋" w:cs="Times New Roman"/>
          <w:kern w:val="2"/>
          <w:sz w:val="32"/>
          <w:szCs w:val="32"/>
          <w:highlight w:val="none"/>
          <w:lang w:val="en-US" w:eastAsia="zh-CN" w:bidi="ar-SA"/>
        </w:rPr>
        <w:t>与</w:t>
      </w:r>
      <w:r>
        <w:rPr>
          <w:rFonts w:hint="eastAsia" w:ascii="仿宋" w:hAnsi="仿宋" w:eastAsia="仿宋" w:cs="Times New Roman"/>
          <w:kern w:val="2"/>
          <w:sz w:val="32"/>
          <w:szCs w:val="32"/>
          <w:highlight w:val="none"/>
          <w:lang w:val="en-US" w:eastAsia="zh-CN" w:bidi="ar-SA"/>
        </w:rPr>
        <w:t>上</w:t>
      </w:r>
      <w:r>
        <w:rPr>
          <w:rFonts w:hint="default" w:ascii="仿宋" w:hAnsi="仿宋" w:eastAsia="仿宋" w:cs="Times New Roman"/>
          <w:kern w:val="2"/>
          <w:sz w:val="32"/>
          <w:szCs w:val="32"/>
          <w:highlight w:val="none"/>
          <w:lang w:val="en-US" w:eastAsia="zh-CN" w:bidi="ar-SA"/>
        </w:rPr>
        <w:t>年相比，</w:t>
      </w:r>
      <w:r>
        <w:rPr>
          <w:rFonts w:hint="eastAsia" w:ascii="仿宋" w:hAnsi="仿宋" w:eastAsia="仿宋" w:cs="Times New Roman"/>
          <w:kern w:val="2"/>
          <w:sz w:val="32"/>
          <w:szCs w:val="32"/>
          <w:highlight w:val="none"/>
          <w:lang w:val="en-US" w:eastAsia="zh-CN" w:bidi="ar-SA"/>
        </w:rPr>
        <w:t>减少1817.85万元</w:t>
      </w:r>
      <w:r>
        <w:rPr>
          <w:rFonts w:hint="default" w:ascii="仿宋" w:hAnsi="仿宋" w:eastAsia="仿宋" w:cs="Times New Roman"/>
          <w:kern w:val="2"/>
          <w:sz w:val="32"/>
          <w:szCs w:val="32"/>
          <w:highlight w:val="none"/>
          <w:lang w:val="en-US" w:eastAsia="zh-CN" w:bidi="ar-SA"/>
        </w:rPr>
        <w:t>。主要</w:t>
      </w:r>
      <w:r>
        <w:rPr>
          <w:rFonts w:hint="eastAsia" w:ascii="仿宋" w:hAnsi="仿宋" w:eastAsia="仿宋" w:cs="Times New Roman"/>
          <w:kern w:val="2"/>
          <w:sz w:val="32"/>
          <w:szCs w:val="32"/>
          <w:highlight w:val="none"/>
          <w:lang w:val="en-US" w:eastAsia="zh-CN" w:bidi="ar-SA"/>
        </w:rPr>
        <w:t>是因为当年安排项目资金减少相关支出减少。</w:t>
      </w:r>
    </w:p>
    <w:p>
      <w:pPr>
        <w:ind w:firstLine="645"/>
        <w:rPr>
          <w:rFonts w:ascii="仿宋" w:hAnsi="仿宋" w:eastAsia="仿宋"/>
          <w:sz w:val="32"/>
          <w:szCs w:val="32"/>
          <w:highlight w:val="yellow"/>
        </w:rPr>
      </w:pPr>
      <w:r>
        <w:rPr>
          <w:rFonts w:hint="eastAsia" w:ascii="仿宋" w:hAnsi="仿宋" w:eastAsia="仿宋"/>
          <w:sz w:val="32"/>
          <w:szCs w:val="32"/>
          <w:highlight w:val="none"/>
        </w:rPr>
        <w:t>基本支出</w:t>
      </w:r>
      <w:r>
        <w:rPr>
          <w:rFonts w:hint="eastAsia" w:ascii="仿宋" w:hAnsi="仿宋" w:eastAsia="仿宋"/>
          <w:sz w:val="32"/>
          <w:szCs w:val="32"/>
          <w:highlight w:val="none"/>
          <w:lang w:val="en-US" w:eastAsia="zh-CN"/>
        </w:rPr>
        <w:t>317.68</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同比</w:t>
      </w:r>
      <w:r>
        <w:rPr>
          <w:rFonts w:hint="eastAsia" w:ascii="仿宋" w:hAnsi="仿宋" w:eastAsia="仿宋"/>
          <w:sz w:val="32"/>
          <w:szCs w:val="32"/>
          <w:highlight w:val="none"/>
          <w:lang w:val="en-US" w:eastAsia="zh-CN"/>
        </w:rPr>
        <w:t>增加21.83万元，增加7.38%，</w:t>
      </w:r>
      <w:r>
        <w:rPr>
          <w:rFonts w:hint="eastAsia" w:ascii="仿宋" w:hAnsi="仿宋" w:eastAsia="仿宋"/>
          <w:sz w:val="32"/>
          <w:szCs w:val="32"/>
          <w:highlight w:val="none"/>
          <w:lang w:eastAsia="zh-CN"/>
        </w:rPr>
        <w:t>主要原因是离</w:t>
      </w:r>
      <w:r>
        <w:rPr>
          <w:rFonts w:hint="eastAsia" w:ascii="仿宋" w:hAnsi="仿宋" w:eastAsia="仿宋"/>
          <w:sz w:val="32"/>
          <w:szCs w:val="32"/>
          <w:highlight w:val="none"/>
          <w:lang w:val="en-US" w:eastAsia="zh-CN"/>
        </w:rPr>
        <w:t>退</w:t>
      </w:r>
      <w:r>
        <w:rPr>
          <w:rFonts w:hint="eastAsia" w:ascii="仿宋" w:hAnsi="仿宋" w:eastAsia="仿宋"/>
          <w:sz w:val="32"/>
          <w:szCs w:val="32"/>
          <w:highlight w:val="none"/>
          <w:lang w:eastAsia="zh-CN"/>
        </w:rPr>
        <w:t>休费</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其中：工资福利支出</w:t>
      </w:r>
      <w:r>
        <w:rPr>
          <w:rFonts w:hint="eastAsia" w:ascii="仿宋" w:hAnsi="仿宋" w:eastAsia="仿宋"/>
          <w:sz w:val="32"/>
          <w:szCs w:val="32"/>
          <w:highlight w:val="none"/>
          <w:lang w:val="en-US" w:eastAsia="zh-CN"/>
        </w:rPr>
        <w:t>249.84</w:t>
      </w:r>
      <w:r>
        <w:rPr>
          <w:rFonts w:hint="eastAsia" w:ascii="仿宋" w:hAnsi="仿宋" w:eastAsia="仿宋"/>
          <w:sz w:val="32"/>
          <w:szCs w:val="32"/>
          <w:highlight w:val="none"/>
        </w:rPr>
        <w:t>万元，同比</w:t>
      </w:r>
      <w:r>
        <w:rPr>
          <w:rFonts w:hint="eastAsia" w:ascii="仿宋" w:hAnsi="仿宋" w:eastAsia="仿宋"/>
          <w:sz w:val="32"/>
          <w:szCs w:val="32"/>
          <w:highlight w:val="none"/>
          <w:lang w:eastAsia="zh-CN"/>
        </w:rPr>
        <w:t>减少</w:t>
      </w:r>
      <w:r>
        <w:rPr>
          <w:rFonts w:hint="eastAsia" w:ascii="仿宋" w:hAnsi="仿宋" w:eastAsia="仿宋"/>
          <w:sz w:val="32"/>
          <w:szCs w:val="32"/>
          <w:highlight w:val="none"/>
          <w:lang w:val="en-US" w:eastAsia="zh-CN"/>
        </w:rPr>
        <w:t>0.69</w:t>
      </w:r>
      <w:r>
        <w:rPr>
          <w:rFonts w:hint="eastAsia" w:ascii="仿宋" w:hAnsi="仿宋" w:eastAsia="仿宋"/>
          <w:sz w:val="32"/>
          <w:szCs w:val="32"/>
          <w:highlight w:val="none"/>
        </w:rPr>
        <w:t>万元，同比</w:t>
      </w:r>
      <w:r>
        <w:rPr>
          <w:rFonts w:hint="eastAsia" w:ascii="仿宋" w:hAnsi="仿宋" w:eastAsia="仿宋"/>
          <w:sz w:val="32"/>
          <w:szCs w:val="32"/>
          <w:highlight w:val="none"/>
          <w:lang w:eastAsia="zh-CN"/>
        </w:rPr>
        <w:t>下降</w:t>
      </w:r>
      <w:r>
        <w:rPr>
          <w:rFonts w:hint="eastAsia" w:ascii="仿宋" w:hAnsi="仿宋" w:eastAsia="仿宋"/>
          <w:sz w:val="32"/>
          <w:szCs w:val="32"/>
          <w:highlight w:val="none"/>
          <w:lang w:val="en-US" w:eastAsia="zh-CN"/>
        </w:rPr>
        <w:t>0.28</w:t>
      </w:r>
      <w:r>
        <w:rPr>
          <w:rFonts w:hint="eastAsia" w:ascii="仿宋" w:hAnsi="仿宋" w:eastAsia="仿宋"/>
          <w:sz w:val="32"/>
          <w:szCs w:val="32"/>
          <w:highlight w:val="none"/>
        </w:rPr>
        <w:t>%</w:t>
      </w:r>
      <w:r>
        <w:rPr>
          <w:rFonts w:hint="eastAsia" w:ascii="仿宋" w:hAnsi="仿宋" w:eastAsia="仿宋"/>
          <w:sz w:val="32"/>
          <w:szCs w:val="32"/>
          <w:highlight w:val="none"/>
          <w:lang w:eastAsia="zh-CN"/>
        </w:rPr>
        <w:t>，主要是退休人员</w:t>
      </w:r>
      <w:r>
        <w:rPr>
          <w:rFonts w:hint="eastAsia" w:ascii="仿宋" w:hAnsi="仿宋" w:eastAsia="仿宋"/>
          <w:sz w:val="32"/>
          <w:szCs w:val="32"/>
          <w:highlight w:val="none"/>
          <w:lang w:val="en-US" w:eastAsia="zh-CN"/>
        </w:rPr>
        <w:t>增加，基本支出减少</w:t>
      </w:r>
      <w:r>
        <w:rPr>
          <w:rFonts w:hint="eastAsia" w:ascii="仿宋" w:hAnsi="仿宋" w:eastAsia="仿宋"/>
          <w:sz w:val="32"/>
          <w:szCs w:val="32"/>
          <w:highlight w:val="none"/>
        </w:rPr>
        <w:t>；商品和服务支出</w:t>
      </w:r>
      <w:r>
        <w:rPr>
          <w:rFonts w:hint="eastAsia" w:ascii="仿宋" w:hAnsi="仿宋" w:eastAsia="仿宋"/>
          <w:sz w:val="32"/>
          <w:szCs w:val="32"/>
          <w:highlight w:val="none"/>
          <w:lang w:val="en-US" w:eastAsia="zh-CN"/>
        </w:rPr>
        <w:t>21.7</w:t>
      </w:r>
      <w:r>
        <w:rPr>
          <w:rFonts w:hint="eastAsia" w:ascii="仿宋" w:hAnsi="仿宋" w:eastAsia="仿宋"/>
          <w:sz w:val="32"/>
          <w:szCs w:val="32"/>
          <w:highlight w:val="none"/>
        </w:rPr>
        <w:t>万元，同比</w:t>
      </w:r>
      <w:r>
        <w:rPr>
          <w:rFonts w:hint="eastAsia" w:ascii="仿宋" w:hAnsi="仿宋" w:eastAsia="仿宋"/>
          <w:sz w:val="32"/>
          <w:szCs w:val="32"/>
          <w:highlight w:val="none"/>
          <w:lang w:eastAsia="zh-CN"/>
        </w:rPr>
        <w:t>减少</w:t>
      </w:r>
      <w:r>
        <w:rPr>
          <w:rFonts w:hint="eastAsia" w:ascii="仿宋" w:hAnsi="仿宋" w:eastAsia="仿宋"/>
          <w:sz w:val="32"/>
          <w:szCs w:val="32"/>
          <w:highlight w:val="none"/>
          <w:lang w:val="en-US" w:eastAsia="zh-CN"/>
        </w:rPr>
        <w:t>16.93</w:t>
      </w:r>
      <w:r>
        <w:rPr>
          <w:rFonts w:hint="eastAsia" w:ascii="仿宋" w:hAnsi="仿宋" w:eastAsia="仿宋"/>
          <w:sz w:val="32"/>
          <w:szCs w:val="32"/>
          <w:highlight w:val="none"/>
        </w:rPr>
        <w:t>万元，同比</w:t>
      </w:r>
      <w:r>
        <w:rPr>
          <w:rFonts w:hint="eastAsia" w:ascii="仿宋" w:hAnsi="仿宋" w:eastAsia="仿宋"/>
          <w:sz w:val="32"/>
          <w:szCs w:val="32"/>
          <w:highlight w:val="none"/>
          <w:lang w:eastAsia="zh-CN"/>
        </w:rPr>
        <w:t>下降</w:t>
      </w:r>
      <w:r>
        <w:rPr>
          <w:rFonts w:hint="eastAsia" w:ascii="仿宋" w:hAnsi="仿宋" w:eastAsia="仿宋"/>
          <w:sz w:val="32"/>
          <w:szCs w:val="32"/>
          <w:highlight w:val="none"/>
          <w:lang w:val="en-US" w:eastAsia="zh-CN"/>
        </w:rPr>
        <w:t>43.83</w:t>
      </w:r>
      <w:r>
        <w:rPr>
          <w:rFonts w:hint="eastAsia" w:ascii="仿宋" w:hAnsi="仿宋" w:eastAsia="仿宋"/>
          <w:sz w:val="32"/>
          <w:szCs w:val="32"/>
          <w:highlight w:val="none"/>
        </w:rPr>
        <w:t>%</w:t>
      </w:r>
      <w:r>
        <w:rPr>
          <w:rFonts w:hint="eastAsia" w:ascii="仿宋" w:hAnsi="仿宋" w:eastAsia="仿宋"/>
          <w:sz w:val="32"/>
          <w:szCs w:val="32"/>
          <w:highlight w:val="none"/>
          <w:lang w:eastAsia="zh-CN"/>
        </w:rPr>
        <w:t>，主要是由于印刷费、</w:t>
      </w:r>
      <w:r>
        <w:rPr>
          <w:rFonts w:hint="eastAsia" w:ascii="仿宋" w:hAnsi="仿宋" w:eastAsia="仿宋"/>
          <w:sz w:val="32"/>
          <w:szCs w:val="32"/>
          <w:highlight w:val="none"/>
          <w:lang w:val="en-US" w:eastAsia="zh-CN"/>
        </w:rPr>
        <w:t>物业管理费、差旅费</w:t>
      </w:r>
      <w:r>
        <w:rPr>
          <w:rFonts w:hint="eastAsia" w:ascii="仿宋" w:hAnsi="仿宋" w:eastAsia="仿宋"/>
          <w:sz w:val="32"/>
          <w:szCs w:val="32"/>
          <w:highlight w:val="none"/>
          <w:lang w:eastAsia="zh-CN"/>
        </w:rPr>
        <w:t>等费用</w:t>
      </w:r>
      <w:r>
        <w:rPr>
          <w:rFonts w:hint="eastAsia" w:ascii="仿宋" w:hAnsi="仿宋" w:eastAsia="仿宋"/>
          <w:sz w:val="32"/>
          <w:szCs w:val="32"/>
          <w:highlight w:val="none"/>
          <w:lang w:val="en-US" w:eastAsia="zh-CN"/>
        </w:rPr>
        <w:t>2021</w:t>
      </w:r>
      <w:r>
        <w:rPr>
          <w:rFonts w:hint="eastAsia" w:ascii="仿宋" w:hAnsi="仿宋" w:eastAsia="仿宋"/>
          <w:sz w:val="32"/>
          <w:szCs w:val="32"/>
          <w:highlight w:val="none"/>
          <w:lang w:eastAsia="zh-CN"/>
        </w:rPr>
        <w:t>年在项目支出中进行核算，个人家庭的补助</w:t>
      </w:r>
      <w:r>
        <w:rPr>
          <w:rFonts w:hint="eastAsia" w:ascii="仿宋" w:hAnsi="仿宋" w:eastAsia="仿宋"/>
          <w:sz w:val="32"/>
          <w:szCs w:val="32"/>
          <w:highlight w:val="none"/>
          <w:lang w:val="en-US" w:eastAsia="zh-CN"/>
        </w:rPr>
        <w:t>0.004万元，</w:t>
      </w:r>
      <w:r>
        <w:rPr>
          <w:rFonts w:hint="eastAsia" w:ascii="仿宋" w:hAnsi="仿宋" w:eastAsia="仿宋"/>
          <w:sz w:val="32"/>
          <w:szCs w:val="32"/>
          <w:highlight w:val="none"/>
        </w:rPr>
        <w:t>同比</w:t>
      </w:r>
      <w:r>
        <w:rPr>
          <w:rFonts w:hint="eastAsia" w:ascii="仿宋" w:hAnsi="仿宋" w:eastAsia="仿宋"/>
          <w:sz w:val="32"/>
          <w:szCs w:val="32"/>
          <w:highlight w:val="none"/>
          <w:lang w:eastAsia="zh-CN"/>
        </w:rPr>
        <w:t>减少</w:t>
      </w:r>
      <w:r>
        <w:rPr>
          <w:rFonts w:hint="eastAsia" w:ascii="仿宋" w:hAnsi="仿宋" w:eastAsia="仿宋"/>
          <w:sz w:val="32"/>
          <w:szCs w:val="32"/>
          <w:highlight w:val="none"/>
          <w:lang w:val="en-US" w:eastAsia="zh-CN"/>
        </w:rPr>
        <w:t>0.008</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下降33.33%，主要是今年的独生子女费支出</w:t>
      </w:r>
      <w:r>
        <w:rPr>
          <w:rFonts w:hint="eastAsia" w:ascii="仿宋" w:hAnsi="仿宋" w:eastAsia="仿宋"/>
          <w:sz w:val="32"/>
          <w:szCs w:val="32"/>
          <w:highlight w:val="none"/>
          <w:lang w:eastAsia="zh-CN"/>
        </w:rPr>
        <w:t>减少</w:t>
      </w:r>
      <w:r>
        <w:rPr>
          <w:rFonts w:hint="eastAsia" w:ascii="仿宋" w:hAnsi="仿宋" w:eastAsia="仿宋"/>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pPr>
      <w:r>
        <w:rPr>
          <w:rFonts w:hint="eastAsia" w:ascii="仿宋" w:hAnsi="仿宋" w:eastAsia="仿宋"/>
          <w:sz w:val="32"/>
          <w:szCs w:val="32"/>
          <w:highlight w:val="none"/>
        </w:rPr>
        <w:t>项目支出</w:t>
      </w:r>
      <w:r>
        <w:rPr>
          <w:rFonts w:hint="eastAsia" w:ascii="仿宋" w:hAnsi="仿宋" w:eastAsia="仿宋"/>
          <w:sz w:val="32"/>
          <w:szCs w:val="32"/>
          <w:highlight w:val="none"/>
          <w:lang w:val="en-US" w:eastAsia="zh-CN"/>
        </w:rPr>
        <w:t>2897.15</w:t>
      </w:r>
      <w:r>
        <w:rPr>
          <w:rFonts w:hint="eastAsia" w:ascii="仿宋" w:hAnsi="仿宋" w:eastAsia="仿宋"/>
          <w:sz w:val="32"/>
          <w:szCs w:val="32"/>
          <w:highlight w:val="none"/>
        </w:rPr>
        <w:t>万元，同比</w:t>
      </w:r>
      <w:r>
        <w:rPr>
          <w:rFonts w:hint="eastAsia" w:ascii="仿宋" w:hAnsi="仿宋" w:eastAsia="仿宋"/>
          <w:sz w:val="32"/>
          <w:szCs w:val="32"/>
          <w:highlight w:val="none"/>
          <w:lang w:val="en-US" w:eastAsia="zh-CN"/>
        </w:rPr>
        <w:t>减少308.81</w:t>
      </w:r>
      <w:r>
        <w:rPr>
          <w:rFonts w:hint="eastAsia" w:ascii="仿宋" w:hAnsi="仿宋" w:eastAsia="仿宋"/>
          <w:sz w:val="32"/>
          <w:szCs w:val="32"/>
          <w:highlight w:val="none"/>
        </w:rPr>
        <w:t>万元，同比</w:t>
      </w:r>
      <w:r>
        <w:rPr>
          <w:rFonts w:hint="eastAsia" w:ascii="仿宋" w:hAnsi="仿宋" w:eastAsia="仿宋"/>
          <w:sz w:val="32"/>
          <w:szCs w:val="32"/>
          <w:highlight w:val="none"/>
          <w:lang w:val="en-US" w:eastAsia="zh-CN"/>
        </w:rPr>
        <w:t>减少9.63</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，主要</w:t>
      </w:r>
      <w:r>
        <w:rPr>
          <w:rFonts w:hint="eastAsia" w:ascii="仿宋" w:hAnsi="仿宋" w:eastAsia="仿宋" w:cs="Times New Roman"/>
          <w:kern w:val="2"/>
          <w:sz w:val="32"/>
          <w:szCs w:val="32"/>
          <w:highlight w:val="none"/>
          <w:lang w:val="en-US" w:eastAsia="zh-CN" w:bidi="ar-SA"/>
        </w:rPr>
        <w:t>是因为当年安排项目资金减少相关支出减少</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其中：商品和服务支出</w:t>
      </w:r>
      <w:r>
        <w:rPr>
          <w:rFonts w:hint="eastAsia" w:ascii="仿宋" w:hAnsi="仿宋" w:eastAsia="仿宋"/>
          <w:sz w:val="32"/>
          <w:szCs w:val="32"/>
          <w:highlight w:val="none"/>
          <w:lang w:val="en-US" w:eastAsia="zh-CN"/>
        </w:rPr>
        <w:t>195.7</w:t>
      </w:r>
      <w:r>
        <w:rPr>
          <w:rFonts w:hint="eastAsia" w:ascii="仿宋" w:hAnsi="仿宋" w:eastAsia="仿宋"/>
          <w:sz w:val="32"/>
          <w:szCs w:val="32"/>
          <w:highlight w:val="none"/>
        </w:rPr>
        <w:t>万元，同比上年</w:t>
      </w:r>
      <w:r>
        <w:rPr>
          <w:rFonts w:hint="eastAsia" w:ascii="仿宋" w:hAnsi="仿宋" w:eastAsia="仿宋"/>
          <w:sz w:val="32"/>
          <w:szCs w:val="32"/>
          <w:highlight w:val="none"/>
          <w:lang w:eastAsia="zh-CN"/>
        </w:rPr>
        <w:t>增加</w:t>
      </w:r>
      <w:r>
        <w:rPr>
          <w:rFonts w:hint="eastAsia" w:ascii="仿宋" w:hAnsi="仿宋" w:eastAsia="仿宋"/>
          <w:sz w:val="32"/>
          <w:szCs w:val="32"/>
          <w:highlight w:val="none"/>
          <w:lang w:val="en-US" w:eastAsia="zh-CN"/>
        </w:rPr>
        <w:t>156.22</w:t>
      </w:r>
      <w:r>
        <w:rPr>
          <w:rFonts w:hint="eastAsia" w:ascii="仿宋" w:hAnsi="仿宋" w:eastAsia="仿宋"/>
          <w:sz w:val="32"/>
          <w:szCs w:val="32"/>
          <w:highlight w:val="none"/>
        </w:rPr>
        <w:t>万元，同比</w:t>
      </w:r>
      <w:r>
        <w:rPr>
          <w:rFonts w:hint="eastAsia" w:ascii="仿宋" w:hAnsi="仿宋" w:eastAsia="仿宋"/>
          <w:sz w:val="32"/>
          <w:szCs w:val="32"/>
          <w:highlight w:val="none"/>
          <w:lang w:eastAsia="zh-CN"/>
        </w:rPr>
        <w:t>增长</w:t>
      </w:r>
      <w:r>
        <w:rPr>
          <w:rFonts w:hint="eastAsia" w:ascii="仿宋" w:hAnsi="仿宋" w:eastAsia="仿宋"/>
          <w:sz w:val="32"/>
          <w:szCs w:val="32"/>
          <w:highlight w:val="none"/>
          <w:lang w:val="en-US" w:eastAsia="zh-CN"/>
        </w:rPr>
        <w:t>396.7</w:t>
      </w:r>
      <w:r>
        <w:rPr>
          <w:rFonts w:hint="eastAsia" w:ascii="仿宋" w:hAnsi="仿宋" w:eastAsia="仿宋"/>
          <w:sz w:val="32"/>
          <w:szCs w:val="32"/>
          <w:highlight w:val="none"/>
        </w:rPr>
        <w:t>%,</w:t>
      </w:r>
      <w:r>
        <w:rPr>
          <w:rFonts w:hint="eastAsia" w:ascii="仿宋" w:hAnsi="仿宋" w:eastAsia="仿宋"/>
          <w:sz w:val="32"/>
          <w:szCs w:val="32"/>
          <w:highlight w:val="none"/>
          <w:lang w:eastAsia="zh-CN"/>
        </w:rPr>
        <w:t>主要是由于印刷费、</w:t>
      </w:r>
      <w:r>
        <w:rPr>
          <w:rFonts w:hint="eastAsia" w:ascii="仿宋" w:hAnsi="仿宋" w:eastAsia="仿宋"/>
          <w:sz w:val="32"/>
          <w:szCs w:val="32"/>
          <w:highlight w:val="none"/>
          <w:lang w:val="en-US" w:eastAsia="zh-CN"/>
        </w:rPr>
        <w:t>物业管理费、差旅费</w:t>
      </w:r>
      <w:r>
        <w:rPr>
          <w:rFonts w:hint="eastAsia" w:ascii="仿宋" w:hAnsi="仿宋" w:eastAsia="仿宋"/>
          <w:sz w:val="32"/>
          <w:szCs w:val="32"/>
          <w:highlight w:val="none"/>
          <w:lang w:eastAsia="zh-CN"/>
        </w:rPr>
        <w:t>等费用</w:t>
      </w:r>
      <w:r>
        <w:rPr>
          <w:rFonts w:hint="eastAsia" w:ascii="仿宋" w:hAnsi="仿宋" w:eastAsia="仿宋"/>
          <w:sz w:val="32"/>
          <w:szCs w:val="32"/>
          <w:highlight w:val="none"/>
          <w:lang w:val="en-US" w:eastAsia="zh-CN"/>
        </w:rPr>
        <w:t>2021</w:t>
      </w:r>
      <w:r>
        <w:rPr>
          <w:rFonts w:hint="eastAsia" w:ascii="仿宋" w:hAnsi="仿宋" w:eastAsia="仿宋"/>
          <w:sz w:val="32"/>
          <w:szCs w:val="32"/>
          <w:highlight w:val="none"/>
          <w:lang w:eastAsia="zh-CN"/>
        </w:rPr>
        <w:t>年在项目支出中进行核算；对个人和家庭的补助</w:t>
      </w:r>
      <w:r>
        <w:rPr>
          <w:rFonts w:hint="eastAsia" w:ascii="仿宋" w:hAnsi="仿宋" w:eastAsia="仿宋"/>
          <w:sz w:val="32"/>
          <w:szCs w:val="32"/>
          <w:highlight w:val="none"/>
          <w:lang w:val="en-US" w:eastAsia="zh-CN"/>
        </w:rPr>
        <w:t>337.88万元，同比增加337.88万元，同比增加0%，主要是因为遗属补助和部分退休人员取暖费2021年在项目支出中进行核算，</w:t>
      </w:r>
      <w:r>
        <w:rPr>
          <w:rFonts w:hint="eastAsia" w:ascii="仿宋" w:hAnsi="仿宋" w:eastAsia="仿宋"/>
          <w:sz w:val="32"/>
          <w:szCs w:val="32"/>
          <w:highlight w:val="none"/>
        </w:rPr>
        <w:t>资本性支出</w:t>
      </w:r>
      <w:r>
        <w:rPr>
          <w:rFonts w:hint="eastAsia" w:ascii="仿宋" w:hAnsi="仿宋" w:eastAsia="仿宋"/>
          <w:sz w:val="32"/>
          <w:szCs w:val="32"/>
          <w:highlight w:val="none"/>
          <w:lang w:val="en-US" w:eastAsia="zh-CN"/>
        </w:rPr>
        <w:t>917.33万元，同比增加608.11，同比增长196.66%，</w:t>
      </w:r>
      <w:r>
        <w:rPr>
          <w:rFonts w:hint="eastAsia" w:ascii="仿宋" w:hAnsi="仿宋" w:eastAsia="仿宋"/>
          <w:color w:val="auto"/>
          <w:sz w:val="32"/>
          <w:szCs w:val="32"/>
          <w:lang w:val="en-US" w:eastAsia="zh-CN"/>
        </w:rPr>
        <w:t>主要是因为工程项目资金支出增加。</w:t>
      </w:r>
    </w:p>
    <w:p>
      <w:pPr>
        <w:keepNext w:val="0"/>
        <w:keepLines w:val="0"/>
        <w:pageBreakBefore w:val="0"/>
        <w:kinsoku/>
        <w:wordWrap/>
        <w:overflowPunct/>
        <w:topLinePunct w:val="0"/>
        <w:autoSpaceDE/>
        <w:autoSpaceDN/>
        <w:bidi w:val="0"/>
        <w:adjustRightInd/>
        <w:snapToGrid/>
        <w:ind w:firstLine="643" w:firstLineChars="200"/>
        <w:jc w:val="both"/>
        <w:rPr>
          <w:rFonts w:hint="eastAsia" w:ascii="仿宋" w:hAnsi="仿宋" w:eastAsia="仿宋"/>
          <w:b/>
          <w:bCs/>
          <w:sz w:val="32"/>
          <w:szCs w:val="32"/>
          <w:highlight w:val="none"/>
          <w:lang w:eastAsia="zh-CN"/>
        </w:rPr>
      </w:pPr>
      <w:r>
        <w:rPr>
          <w:rFonts w:hint="eastAsia" w:ascii="仿宋" w:hAnsi="仿宋" w:eastAsia="仿宋"/>
          <w:b/>
          <w:bCs/>
          <w:sz w:val="32"/>
          <w:szCs w:val="32"/>
          <w:highlight w:val="none"/>
          <w:lang w:eastAsia="zh-CN"/>
        </w:rPr>
        <w:t>三</w:t>
      </w:r>
      <w:r>
        <w:rPr>
          <w:rFonts w:hint="eastAsia" w:ascii="仿宋" w:hAnsi="仿宋" w:eastAsia="仿宋"/>
          <w:b/>
          <w:bCs/>
          <w:sz w:val="32"/>
          <w:szCs w:val="32"/>
          <w:highlight w:val="none"/>
        </w:rPr>
        <w:t>、</w:t>
      </w:r>
      <w:r>
        <w:rPr>
          <w:rFonts w:hint="eastAsia" w:ascii="仿宋" w:hAnsi="仿宋" w:eastAsia="仿宋"/>
          <w:b/>
          <w:bCs/>
          <w:sz w:val="32"/>
          <w:szCs w:val="32"/>
          <w:highlight w:val="none"/>
          <w:lang w:val="en-US" w:eastAsia="zh-CN"/>
        </w:rPr>
        <w:t>部门整体支出“</w:t>
      </w:r>
      <w:r>
        <w:rPr>
          <w:rFonts w:hint="eastAsia" w:ascii="仿宋" w:hAnsi="仿宋" w:eastAsia="仿宋"/>
          <w:b/>
          <w:bCs/>
          <w:sz w:val="32"/>
          <w:szCs w:val="32"/>
          <w:highlight w:val="none"/>
        </w:rPr>
        <w:t>三公”经费支出</w:t>
      </w:r>
      <w:r>
        <w:rPr>
          <w:rFonts w:hint="eastAsia" w:ascii="仿宋" w:hAnsi="仿宋" w:eastAsia="仿宋"/>
          <w:b/>
          <w:bCs/>
          <w:sz w:val="32"/>
          <w:szCs w:val="32"/>
          <w:highlight w:val="none"/>
          <w:lang w:eastAsia="zh-CN"/>
        </w:rPr>
        <w:t>决算</w:t>
      </w:r>
      <w:r>
        <w:rPr>
          <w:rFonts w:hint="eastAsia" w:ascii="仿宋" w:hAnsi="仿宋" w:eastAsia="仿宋"/>
          <w:b/>
          <w:bCs/>
          <w:sz w:val="32"/>
          <w:szCs w:val="32"/>
          <w:highlight w:val="none"/>
        </w:rPr>
        <w:t>情况</w:t>
      </w:r>
      <w:r>
        <w:rPr>
          <w:rFonts w:hint="eastAsia" w:ascii="仿宋" w:hAnsi="仿宋" w:eastAsia="仿宋"/>
          <w:b/>
          <w:bCs/>
          <w:sz w:val="32"/>
          <w:szCs w:val="32"/>
          <w:highlight w:val="none"/>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highlight w:val="none"/>
        </w:rPr>
      </w:pPr>
      <w:r>
        <w:rPr>
          <w:rFonts w:hint="eastAsia" w:ascii="仿宋" w:hAnsi="仿宋" w:eastAsia="仿宋"/>
          <w:sz w:val="32"/>
          <w:szCs w:val="32"/>
          <w:highlight w:val="none"/>
        </w:rPr>
        <w:t xml:space="preserve">2021年度“三公”经费财政拨款支出预算 </w:t>
      </w:r>
      <w:r>
        <w:rPr>
          <w:rFonts w:hint="eastAsia" w:ascii="仿宋" w:hAnsi="仿宋" w:eastAsia="仿宋"/>
          <w:color w:val="auto"/>
          <w:sz w:val="32"/>
          <w:szCs w:val="32"/>
          <w:highlight w:val="none"/>
          <w:lang w:val="en-US" w:eastAsia="zh-CN"/>
        </w:rPr>
        <w:t>17.18</w:t>
      </w:r>
      <w:r>
        <w:rPr>
          <w:rFonts w:hint="eastAsia" w:ascii="仿宋" w:hAnsi="仿宋" w:eastAsia="仿宋"/>
          <w:sz w:val="32"/>
          <w:szCs w:val="32"/>
          <w:highlight w:val="none"/>
        </w:rPr>
        <w:t>万元， 支出决</w:t>
      </w:r>
      <w:r>
        <w:rPr>
          <w:rFonts w:hint="eastAsia" w:ascii="仿宋" w:hAnsi="仿宋" w:eastAsia="仿宋"/>
          <w:color w:val="auto"/>
          <w:sz w:val="32"/>
          <w:szCs w:val="32"/>
          <w:highlight w:val="none"/>
        </w:rPr>
        <w:t>算</w:t>
      </w:r>
      <w:r>
        <w:rPr>
          <w:rFonts w:hint="eastAsia" w:ascii="仿宋" w:hAnsi="仿宋" w:eastAsia="仿宋"/>
          <w:color w:val="auto"/>
          <w:sz w:val="32"/>
          <w:szCs w:val="32"/>
          <w:highlight w:val="none"/>
          <w:lang w:val="en-US" w:eastAsia="zh-CN"/>
        </w:rPr>
        <w:t>13.58</w:t>
      </w:r>
      <w:r>
        <w:rPr>
          <w:rFonts w:hint="eastAsia" w:ascii="仿宋" w:hAnsi="仿宋" w:eastAsia="仿宋"/>
          <w:color w:val="auto"/>
          <w:sz w:val="32"/>
          <w:szCs w:val="32"/>
          <w:highlight w:val="none"/>
        </w:rPr>
        <w:t xml:space="preserve"> </w:t>
      </w:r>
      <w:r>
        <w:rPr>
          <w:rFonts w:hint="eastAsia" w:ascii="仿宋" w:hAnsi="仿宋" w:eastAsia="仿宋"/>
          <w:sz w:val="32"/>
          <w:szCs w:val="32"/>
          <w:highlight w:val="none"/>
        </w:rPr>
        <w:t xml:space="preserve">万元，完成预算的 </w:t>
      </w:r>
      <w:r>
        <w:rPr>
          <w:rFonts w:hint="eastAsia" w:ascii="仿宋" w:hAnsi="仿宋" w:eastAsia="仿宋"/>
          <w:sz w:val="32"/>
          <w:szCs w:val="32"/>
          <w:highlight w:val="none"/>
          <w:lang w:val="en-US" w:eastAsia="zh-CN"/>
        </w:rPr>
        <w:t>79.05</w:t>
      </w:r>
      <w:r>
        <w:rPr>
          <w:rFonts w:hint="eastAsia" w:ascii="仿宋" w:hAnsi="仿宋" w:eastAsia="仿宋"/>
          <w:sz w:val="32"/>
          <w:szCs w:val="32"/>
          <w:highlight w:val="none"/>
        </w:rPr>
        <w:t>%，比2020 年</w:t>
      </w:r>
      <w:r>
        <w:rPr>
          <w:rFonts w:hint="eastAsia" w:ascii="仿宋" w:hAnsi="仿宋" w:eastAsia="仿宋"/>
          <w:sz w:val="32"/>
          <w:szCs w:val="32"/>
          <w:highlight w:val="none"/>
          <w:lang w:eastAsia="zh-CN"/>
        </w:rPr>
        <w:t>减少</w:t>
      </w:r>
      <w:r>
        <w:rPr>
          <w:rFonts w:hint="eastAsia" w:ascii="仿宋" w:hAnsi="仿宋" w:eastAsia="仿宋"/>
          <w:sz w:val="32"/>
          <w:szCs w:val="32"/>
          <w:highlight w:val="none"/>
          <w:lang w:val="en-US" w:eastAsia="zh-CN"/>
        </w:rPr>
        <w:t>0.74</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sz w:val="32"/>
          <w:szCs w:val="32"/>
          <w:highlight w:val="none"/>
        </w:rPr>
        <w:t xml:space="preserve"> </w:t>
      </w:r>
      <w:r>
        <w:rPr>
          <w:rFonts w:hint="eastAsia" w:ascii="仿宋" w:hAnsi="仿宋" w:eastAsia="仿宋"/>
          <w:sz w:val="32"/>
          <w:szCs w:val="32"/>
          <w:highlight w:val="none"/>
          <w:lang w:val="en-US" w:eastAsia="zh-CN"/>
        </w:rPr>
        <w:t>5.17</w:t>
      </w:r>
      <w:r>
        <w:rPr>
          <w:rFonts w:hint="eastAsia" w:ascii="仿宋" w:hAnsi="仿宋" w:eastAsia="仿宋"/>
          <w:sz w:val="32"/>
          <w:szCs w:val="32"/>
          <w:highlight w:val="none"/>
        </w:rPr>
        <w:t>%，</w:t>
      </w:r>
      <w:r>
        <w:rPr>
          <w:rFonts w:hint="eastAsia" w:ascii="仿宋" w:hAnsi="仿宋" w:eastAsia="仿宋"/>
          <w:sz w:val="32"/>
          <w:szCs w:val="32"/>
          <w:highlight w:val="none"/>
          <w:lang w:eastAsia="zh-CN"/>
        </w:rPr>
        <w:t>具体情况如下：</w:t>
      </w:r>
      <w:r>
        <w:rPr>
          <w:rFonts w:hint="eastAsia" w:ascii="仿宋" w:hAnsi="仿宋" w:eastAsia="仿宋"/>
          <w:sz w:val="32"/>
          <w:szCs w:val="32"/>
          <w:highlight w:val="none"/>
        </w:rPr>
        <w:t>我单位</w:t>
      </w:r>
      <w:r>
        <w:rPr>
          <w:rFonts w:hint="eastAsia" w:ascii="仿宋" w:hAnsi="仿宋" w:eastAsia="仿宋"/>
          <w:sz w:val="32"/>
          <w:szCs w:val="32"/>
          <w:highlight w:val="none"/>
          <w:lang w:val="en-US" w:eastAsia="zh-CN"/>
        </w:rPr>
        <w:t>2021</w:t>
      </w:r>
      <w:r>
        <w:rPr>
          <w:rFonts w:hint="eastAsia" w:ascii="仿宋" w:hAnsi="仿宋" w:eastAsia="仿宋"/>
          <w:sz w:val="32"/>
          <w:szCs w:val="32"/>
          <w:highlight w:val="none"/>
        </w:rPr>
        <w:t>年末公共预算财政拨款开支运行维护费的公务用车保有量为</w:t>
      </w:r>
      <w:r>
        <w:rPr>
          <w:rFonts w:hint="eastAsia" w:ascii="仿宋" w:hAnsi="仿宋" w:eastAsia="仿宋"/>
          <w:color w:val="auto"/>
          <w:sz w:val="32"/>
          <w:szCs w:val="32"/>
          <w:highlight w:val="none"/>
          <w:lang w:val="en-US" w:eastAsia="zh-CN"/>
        </w:rPr>
        <w:t>18</w:t>
      </w:r>
      <w:r>
        <w:rPr>
          <w:rFonts w:hint="eastAsia" w:ascii="仿宋" w:hAnsi="仿宋" w:eastAsia="仿宋"/>
          <w:sz w:val="32"/>
          <w:szCs w:val="32"/>
          <w:highlight w:val="none"/>
        </w:rPr>
        <w:t>辆，公务用车车运行维护费</w:t>
      </w:r>
      <w:r>
        <w:rPr>
          <w:rFonts w:hint="eastAsia" w:ascii="仿宋" w:hAnsi="仿宋" w:eastAsia="仿宋"/>
          <w:color w:val="auto"/>
          <w:sz w:val="32"/>
          <w:szCs w:val="32"/>
          <w:highlight w:val="none"/>
          <w:lang w:val="en-US" w:eastAsia="zh-CN"/>
        </w:rPr>
        <w:t>13.58</w:t>
      </w:r>
      <w:r>
        <w:rPr>
          <w:rFonts w:hint="eastAsia" w:ascii="仿宋" w:hAnsi="仿宋" w:eastAsia="仿宋"/>
          <w:sz w:val="32"/>
          <w:szCs w:val="32"/>
          <w:highlight w:val="none"/>
        </w:rPr>
        <w:t>万元，比上年</w:t>
      </w:r>
      <w:r>
        <w:rPr>
          <w:rFonts w:hint="eastAsia" w:ascii="仿宋" w:hAnsi="仿宋" w:eastAsia="仿宋"/>
          <w:sz w:val="32"/>
          <w:szCs w:val="32"/>
          <w:highlight w:val="none"/>
          <w:lang w:val="en-US" w:eastAsia="zh-CN"/>
        </w:rPr>
        <w:t>减少0.74</w:t>
      </w:r>
      <w:r>
        <w:rPr>
          <w:rFonts w:hint="eastAsia" w:ascii="仿宋" w:hAnsi="仿宋" w:eastAsia="仿宋"/>
          <w:sz w:val="32"/>
          <w:szCs w:val="32"/>
          <w:highlight w:val="none"/>
        </w:rPr>
        <w:t>万元，主要因为</w:t>
      </w:r>
      <w:r>
        <w:rPr>
          <w:rFonts w:hint="eastAsia" w:ascii="仿宋" w:hAnsi="仿宋" w:eastAsia="仿宋"/>
          <w:sz w:val="32"/>
          <w:szCs w:val="32"/>
          <w:highlight w:val="none"/>
          <w:lang w:val="en-US" w:eastAsia="zh-CN"/>
        </w:rPr>
        <w:t>下属单位运输管理局的执法车辆出勤率较少。</w:t>
      </w:r>
      <w:r>
        <w:rPr>
          <w:rFonts w:hint="eastAsia" w:ascii="仿宋" w:hAnsi="仿宋" w:eastAsia="仿宋"/>
          <w:color w:val="auto"/>
          <w:sz w:val="32"/>
          <w:szCs w:val="32"/>
          <w:highlight w:val="none"/>
          <w:lang w:eastAsia="zh-CN"/>
        </w:rPr>
        <w:t>公务</w:t>
      </w:r>
      <w:r>
        <w:rPr>
          <w:rFonts w:hint="eastAsia" w:ascii="仿宋" w:hAnsi="仿宋" w:eastAsia="仿宋"/>
          <w:color w:val="auto"/>
          <w:sz w:val="32"/>
          <w:szCs w:val="32"/>
          <w:highlight w:val="none"/>
          <w:lang w:val="en-US" w:eastAsia="zh-CN"/>
        </w:rPr>
        <w:t>接待费0万元，占年初预算的0%，</w:t>
      </w:r>
      <w:r>
        <w:rPr>
          <w:rFonts w:hint="eastAsia" w:ascii="仿宋" w:hAnsi="仿宋" w:eastAsia="仿宋"/>
          <w:color w:val="auto"/>
          <w:sz w:val="32"/>
          <w:szCs w:val="32"/>
          <w:highlight w:val="none"/>
        </w:rPr>
        <w:t>比上年</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，主要原因</w:t>
      </w:r>
      <w:r>
        <w:rPr>
          <w:rFonts w:hint="eastAsia" w:ascii="仿宋" w:hAnsi="仿宋" w:eastAsia="仿宋"/>
          <w:sz w:val="32"/>
          <w:szCs w:val="32"/>
          <w:highlight w:val="none"/>
          <w:lang w:eastAsia="zh-CN"/>
        </w:rPr>
        <w:t>是公务接待业务减少</w:t>
      </w:r>
      <w:r>
        <w:rPr>
          <w:rFonts w:hint="eastAsia" w:ascii="仿宋" w:hAnsi="仿宋" w:eastAsia="仿宋"/>
          <w:sz w:val="32"/>
          <w:szCs w:val="32"/>
          <w:highlight w:val="none"/>
          <w:lang w:val="en-US" w:eastAsia="zh-CN"/>
        </w:rPr>
        <w:t>。2021</w:t>
      </w:r>
      <w:r>
        <w:rPr>
          <w:rFonts w:hint="eastAsia" w:ascii="仿宋" w:hAnsi="仿宋" w:eastAsia="仿宋"/>
          <w:sz w:val="32"/>
          <w:szCs w:val="32"/>
          <w:highlight w:val="none"/>
        </w:rPr>
        <w:t>年度使用公共预算财政拨款支出</w:t>
      </w:r>
      <w:r>
        <w:rPr>
          <w:rFonts w:hint="eastAsia" w:ascii="仿宋" w:hAnsi="仿宋" w:eastAsia="仿宋"/>
          <w:sz w:val="32"/>
          <w:szCs w:val="32"/>
          <w:highlight w:val="none"/>
          <w:lang w:eastAsia="zh-CN"/>
        </w:rPr>
        <w:t>无因公出国（境）费</w:t>
      </w:r>
      <w:r>
        <w:rPr>
          <w:rFonts w:hint="eastAsia" w:ascii="仿宋" w:hAnsi="仿宋" w:eastAsia="仿宋"/>
          <w:sz w:val="32"/>
          <w:szCs w:val="32"/>
          <w:highlight w:val="no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3" w:firstLineChars="200"/>
        <w:jc w:val="both"/>
        <w:rPr>
          <w:b/>
          <w:bCs/>
          <w:color w:val="auto"/>
          <w:sz w:val="180"/>
          <w:szCs w:val="180"/>
        </w:rPr>
      </w:pPr>
      <w:bookmarkStart w:id="0" w:name="_GoBack"/>
      <w:bookmarkEnd w:id="0"/>
      <w:r>
        <w:rPr>
          <w:rFonts w:hint="eastAsia" w:ascii="仿宋" w:hAnsi="仿宋" w:eastAsia="仿宋" w:cs="仿宋"/>
          <w:b/>
          <w:bCs/>
          <w:i w:val="0"/>
          <w:iCs w:val="0"/>
          <w:caps w:val="0"/>
          <w:color w:val="auto"/>
          <w:spacing w:val="0"/>
          <w:sz w:val="32"/>
          <w:szCs w:val="32"/>
        </w:rPr>
        <w:t>四、部门整体支出绩效评价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2021年，根据局年初工作规划和重点工作，围绕县委、县政府的发展蓝图，积极履职，强化管理，较好的完成了年度工作目标。通过加强预算收支管理，不断建立健全内部管理制度，梳理内部管理流程，部门整体支出管理情况得到提升，部门整体支出绩效情况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2" w:right="0" w:firstLine="0"/>
        <w:jc w:val="left"/>
      </w:pPr>
      <w:r>
        <w:rPr>
          <w:rFonts w:hint="eastAsia" w:ascii="仿宋" w:hAnsi="仿宋" w:eastAsia="仿宋" w:cs="仿宋"/>
          <w:b/>
          <w:bCs/>
          <w:i w:val="0"/>
          <w:iCs w:val="0"/>
          <w:caps w:val="0"/>
          <w:color w:val="1E1E1E"/>
          <w:spacing w:val="0"/>
          <w:kern w:val="0"/>
          <w:sz w:val="32"/>
          <w:szCs w:val="32"/>
          <w:lang w:val="en-US" w:eastAsia="zh-CN" w:bidi="ar"/>
        </w:rPr>
        <w:t>（一）经济性评价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1.本年预算配置控制较好。财政供养人员控制在预算编制以内；“三公”经费支出总额控制在预算。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2.预算执行</w:t>
      </w:r>
      <w:r>
        <w:rPr>
          <w:rFonts w:hint="eastAsia" w:ascii="仿宋" w:hAnsi="仿宋" w:eastAsia="仿宋" w:cs="仿宋"/>
          <w:i w:val="0"/>
          <w:iCs w:val="0"/>
          <w:caps w:val="0"/>
          <w:color w:val="1E1E1E"/>
          <w:spacing w:val="0"/>
          <w:kern w:val="0"/>
          <w:sz w:val="32"/>
          <w:szCs w:val="32"/>
          <w:highlight w:val="none"/>
          <w:lang w:val="en-US" w:eastAsia="zh-CN" w:bidi="ar"/>
        </w:rPr>
        <w:t>方面。支出总额年初预算金额与决算金额相差471.38万元，是因为单位使用了上级专项资金安排了项目支出，上级专项资金不在本级预算总数内，导致支出数比年初预算数大；三公经费总体控制较好，控制在预算总额以内。预算管理方面，制度执行总体较为有效，仍需进一步强化。资金使用管理需进一步加强。资产管理方面，建立了资产管理制度，总体执行较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472"/>
        <w:jc w:val="left"/>
      </w:pPr>
      <w:r>
        <w:rPr>
          <w:rFonts w:hint="eastAsia" w:ascii="仿宋" w:hAnsi="仿宋" w:eastAsia="仿宋" w:cs="仿宋"/>
          <w:b/>
          <w:bCs/>
          <w:i w:val="0"/>
          <w:iCs w:val="0"/>
          <w:caps w:val="0"/>
          <w:color w:val="1E1E1E"/>
          <w:spacing w:val="0"/>
          <w:kern w:val="0"/>
          <w:sz w:val="32"/>
          <w:szCs w:val="32"/>
          <w:lang w:val="en-US" w:eastAsia="zh-CN" w:bidi="ar"/>
        </w:rPr>
        <w:t>（二）行政效能评价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470"/>
        <w:jc w:val="left"/>
      </w:pPr>
      <w:r>
        <w:rPr>
          <w:rFonts w:hint="eastAsia" w:ascii="仿宋" w:hAnsi="仿宋" w:eastAsia="仿宋" w:cs="仿宋"/>
          <w:i w:val="0"/>
          <w:iCs w:val="0"/>
          <w:caps w:val="0"/>
          <w:color w:val="1E1E1E"/>
          <w:spacing w:val="0"/>
          <w:kern w:val="0"/>
          <w:sz w:val="32"/>
          <w:szCs w:val="32"/>
          <w:lang w:val="en-US" w:eastAsia="zh-CN" w:bidi="ar"/>
        </w:rPr>
        <w:t>预算安排的基本支出保障了我局的正常的工作运转，在资金的管理和使用上，严守法律底线、纪律底线、道德底线。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1.高度重视预算绩效工作。成立为以局长为组长，其他局领导为副组长，各科室负责人及财务室人员为成员的预算绩效工作领导小组，进一步强化财政预算支出绩效管理。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2.加强对财政预算资金管理方面制度的培训，不断提高业务工作能力。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3.建立了机关整体支出管理方面的内控制度，并不断进行完善和修订。财务管理制度、固定资产管理制度等办法，对各项支出进行了有效管控。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4.严格控制执行，特别是三公经费的预算控制。严格招待费用审核审批程度，“三公”经费较好地控制在预算范围之内。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（三）社会公众满意度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 2021年，全局干部职工在局党委的正确领导下，认真贯彻落实县委县政府决策部署，勤奋工作，创先争优，圆满完成各项工作任务。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（四）部门整体绩效得分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 根据部门整体支出绩效评价指标体系，本局2021年度评价得分为</w:t>
      </w:r>
      <w:r>
        <w:rPr>
          <w:rFonts w:hint="eastAsia" w:ascii="仿宋" w:hAnsi="仿宋" w:eastAsia="仿宋" w:cs="仿宋"/>
          <w:i w:val="0"/>
          <w:iCs w:val="0"/>
          <w:caps w:val="0"/>
          <w:color w:val="1E1E1E"/>
          <w:spacing w:val="0"/>
          <w:kern w:val="0"/>
          <w:sz w:val="32"/>
          <w:szCs w:val="32"/>
          <w:highlight w:val="none"/>
          <w:lang w:val="en-US" w:eastAsia="zh-CN" w:bidi="ar"/>
        </w:rPr>
        <w:t>98.5分（附件2）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pPr>
      <w:r>
        <w:rPr>
          <w:rFonts w:hint="eastAsia" w:ascii="仿宋" w:hAnsi="仿宋" w:eastAsia="仿宋" w:cs="仿宋"/>
          <w:i w:val="0"/>
          <w:iCs w:val="0"/>
          <w:caps w:val="0"/>
          <w:color w:val="1E1E1E"/>
          <w:spacing w:val="0"/>
          <w:kern w:val="0"/>
          <w:sz w:val="32"/>
          <w:szCs w:val="32"/>
          <w:lang w:val="en-US" w:eastAsia="zh-CN" w:bidi="ar"/>
        </w:rPr>
        <w:t> </w:t>
      </w:r>
      <w:r>
        <w:rPr>
          <w:rFonts w:hint="eastAsia" w:ascii="仿宋" w:hAnsi="仿宋" w:eastAsia="仿宋" w:cs="仿宋"/>
          <w:b/>
          <w:bCs/>
          <w:i w:val="0"/>
          <w:iCs w:val="0"/>
          <w:caps w:val="0"/>
          <w:color w:val="1E1E1E"/>
          <w:spacing w:val="0"/>
          <w:kern w:val="0"/>
          <w:sz w:val="32"/>
          <w:szCs w:val="32"/>
          <w:lang w:val="en-US" w:eastAsia="zh-CN" w:bidi="ar"/>
        </w:rPr>
        <w:t xml:space="preserve">  五、 存在的主要问题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firstLine="0"/>
        <w:jc w:val="left"/>
        <w:rPr>
          <w:rFonts w:hint="default"/>
          <w:lang w:val="en-US"/>
        </w:rPr>
      </w:pPr>
      <w:r>
        <w:rPr>
          <w:rFonts w:hint="eastAsia" w:ascii="仿宋" w:hAnsi="仿宋" w:eastAsia="仿宋" w:cs="仿宋"/>
          <w:i w:val="0"/>
          <w:iCs w:val="0"/>
          <w:caps w:val="0"/>
          <w:color w:val="1E1E1E"/>
          <w:spacing w:val="0"/>
          <w:kern w:val="0"/>
          <w:sz w:val="32"/>
          <w:szCs w:val="32"/>
          <w:lang w:val="en-US" w:eastAsia="zh-CN" w:bidi="ar"/>
        </w:rPr>
        <w:t>      预算管理方面，制度执行总体较为有效，仍需进一步强化。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六、改进意见及建议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进一步加强财政预算绩效管理。严格按照部门预算要求，牢固树立“成本效益”观念，进一步加强预算管理，规范预算执行，不断优化预算支出结构。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left"/>
        <w:rPr>
          <w:highlight w:val="none"/>
        </w:rPr>
      </w:pPr>
      <w:r>
        <w:rPr>
          <w:rFonts w:ascii="黑体" w:hAnsi="宋体" w:eastAsia="黑体" w:cs="黑体"/>
          <w:i w:val="0"/>
          <w:iCs w:val="0"/>
          <w:caps w:val="0"/>
          <w:color w:val="1E1E1E"/>
          <w:spacing w:val="0"/>
          <w:kern w:val="0"/>
          <w:sz w:val="32"/>
          <w:szCs w:val="32"/>
          <w:highlight w:val="none"/>
          <w:lang w:val="en-US" w:eastAsia="zh-CN" w:bidi="ar"/>
        </w:rPr>
        <w:t>附件</w:t>
      </w:r>
      <w:r>
        <w:rPr>
          <w:rFonts w:hint="eastAsia" w:ascii="黑体" w:hAnsi="宋体" w:eastAsia="黑体" w:cs="黑体"/>
          <w:i w:val="0"/>
          <w:iCs w:val="0"/>
          <w:caps w:val="0"/>
          <w:color w:val="1E1E1E"/>
          <w:spacing w:val="0"/>
          <w:kern w:val="0"/>
          <w:sz w:val="32"/>
          <w:szCs w:val="32"/>
          <w:highlight w:val="none"/>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40" w:right="0" w:hanging="540"/>
        <w:jc w:val="center"/>
      </w:pPr>
      <w:r>
        <w:rPr>
          <w:rFonts w:hint="default" w:ascii="Times New Roman" w:hAnsi="Times New Roman" w:eastAsia="微软雅黑" w:cs="Times New Roman"/>
          <w:i w:val="0"/>
          <w:iCs w:val="0"/>
          <w:caps w:val="0"/>
          <w:color w:val="1E1E1E"/>
          <w:spacing w:val="0"/>
          <w:kern w:val="0"/>
          <w:sz w:val="36"/>
          <w:szCs w:val="36"/>
          <w:lang w:val="en-US" w:eastAsia="zh-CN" w:bidi="ar"/>
        </w:rPr>
        <w:t>20</w:t>
      </w:r>
      <w:r>
        <w:rPr>
          <w:rFonts w:hint="eastAsia" w:ascii="Times New Roman" w:hAnsi="Times New Roman" w:eastAsia="微软雅黑" w:cs="Times New Roman"/>
          <w:i w:val="0"/>
          <w:iCs w:val="0"/>
          <w:caps w:val="0"/>
          <w:color w:val="1E1E1E"/>
          <w:spacing w:val="0"/>
          <w:kern w:val="0"/>
          <w:sz w:val="36"/>
          <w:szCs w:val="36"/>
          <w:lang w:val="en-US" w:eastAsia="zh-CN" w:bidi="ar"/>
        </w:rPr>
        <w:t>21</w:t>
      </w:r>
      <w:r>
        <w:rPr>
          <w:rFonts w:ascii="方正小标宋_GBK" w:hAnsi="方正小标宋_GBK" w:eastAsia="方正小标宋_GBK" w:cs="方正小标宋_GBK"/>
          <w:i w:val="0"/>
          <w:iCs w:val="0"/>
          <w:caps w:val="0"/>
          <w:color w:val="1E1E1E"/>
          <w:spacing w:val="0"/>
          <w:kern w:val="0"/>
          <w:sz w:val="36"/>
          <w:szCs w:val="36"/>
          <w:lang w:val="en-US" w:eastAsia="zh-CN" w:bidi="ar"/>
        </w:rPr>
        <w:t>年度部门整体支出</w:t>
      </w:r>
      <w:r>
        <w:rPr>
          <w:rFonts w:hint="default" w:ascii="方正小标宋_GBK" w:hAnsi="方正小标宋_GBK" w:eastAsia="方正小标宋_GBK" w:cs="方正小标宋_GBK"/>
          <w:i w:val="0"/>
          <w:iCs w:val="0"/>
          <w:caps w:val="0"/>
          <w:color w:val="1E1E1E"/>
          <w:spacing w:val="-8"/>
          <w:kern w:val="0"/>
          <w:sz w:val="36"/>
          <w:szCs w:val="36"/>
          <w:lang w:val="en-US" w:eastAsia="zh-CN" w:bidi="ar"/>
        </w:rPr>
        <w:t>绩效评价指标评分表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96" w:right="0" w:hanging="396"/>
        <w:jc w:val="left"/>
      </w:pPr>
      <w:r>
        <w:rPr>
          <w:rFonts w:ascii="楷体_GB2312" w:hAnsi="微软雅黑" w:eastAsia="楷体_GB2312" w:cs="楷体_GB2312"/>
          <w:i w:val="0"/>
          <w:iCs w:val="0"/>
          <w:caps w:val="0"/>
          <w:color w:val="1E1E1E"/>
          <w:spacing w:val="-8"/>
          <w:kern w:val="0"/>
          <w:sz w:val="28"/>
          <w:szCs w:val="28"/>
          <w:lang w:val="en-US" w:eastAsia="zh-CN" w:bidi="ar"/>
        </w:rPr>
        <w:t>填报单位（盖章）：</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11"/>
        <w:gridCol w:w="527"/>
        <w:gridCol w:w="944"/>
        <w:gridCol w:w="1788"/>
        <w:gridCol w:w="4141"/>
        <w:gridCol w:w="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一级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指标</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二级指标</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三级指标</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指标解释</w:t>
            </w:r>
          </w:p>
        </w:tc>
        <w:tc>
          <w:tcPr>
            <w:tcW w:w="0" w:type="auto"/>
            <w:tcBorders>
              <w:top w:val="single" w:color="auto" w:sz="8" w:space="0"/>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指标说明</w:t>
            </w:r>
          </w:p>
        </w:tc>
        <w:tc>
          <w:tcPr>
            <w:tcW w:w="0" w:type="auto"/>
            <w:tcBorders>
              <w:top w:val="single" w:color="auto" w:sz="8" w:space="0"/>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自评分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6"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投入(20分)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设定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绩效目标合理性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部门所设立的整体绩效目标依据是否充分，是否符合客观实际，用以反映和考核部门整体绩效目标与部门履职、年度工作任务的相符性情况。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①符合国家法律法规、国民经济和社会发展总体规划计1分；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②符合部门“三定”方案确定的职责计0.5分；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③是否符合部门制定的中长期实施规划计0.5分。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绩效指标明确性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部门依据整体绩效目标所设定的绩效指标是否清晰、细化、可衡量，用以反映和考核部门整体绩效目标的细化情况。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①将部门整体的绩效目标细化分解为具体的工作任务计1分；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②通过清晰、可衡量的指标值予以体现计0.5分；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③与部门年度的任务数或计划数相对应计0.5分；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④与本年度部门预算资金相匹配计1分。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1"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配置（15分）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在职人员控制率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部门本年度实际在职人员数与编制数的比率，用以反映和考核部门对人员成本的控制程度。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8"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“三公经费”变动率（5分）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部门本年度“三公经费”预算数与上年度“三公经费”预算数的变动比率，用以反映和考核部门对控制重点行政成本的努力程度。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eastAsiaTheme="minorEastAsia"/>
                <w:lang w:eastAsia="zh-CN"/>
              </w:rPr>
            </w:pPr>
            <w:r>
              <w:rPr>
                <w:rFonts w:hint="eastAsia" w:ascii="宋体" w:hAnsi="宋体" w:eastAsia="宋体" w:cs="宋体"/>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5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重点支出安排率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部门本年度预算安排的重点项目支出与部门项目总支出的比率，用以反映和考核部门对履行主要职责或完成重点任务的保障程度。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6"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完成率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部门本年度预算完成数与预算数的比率，用以反映和考核部门预算完成程度。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预算完成率=（预算完成数/预算数）×100%。完成年初预算计4分，未完成年初预算按比例扣减，预算完成数：部门本年度实际完成的预算数。预算数：财政部门批复的本年度部门预算数。</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调整率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部门本年度预算调整数与预算数的比率，用以反映和考核部门预算的调整程度。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支付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进度率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部门实际支付进度与既定支付进度的比率，用以反映和考核部门预算执行的及时性和均衡性程度。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eastAsiaTheme="minorEastAsia"/>
                <w:lang w:val="en-US" w:eastAsia="zh-CN"/>
              </w:rPr>
            </w:pPr>
            <w:r>
              <w:rPr>
                <w:rFonts w:hint="eastAsia" w:ascii="宋体" w:hAnsi="宋体" w:eastAsia="宋体" w:cs="宋体"/>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1"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结转结余控制率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部门本年度结转结余总额与上年结转结余总额增减比例，用以反映和考核部门对存量资金的实际控制程度。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公用经费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控制率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部门本年度实际支出的公用经费总额与预算安排的公用经费总额的比率，用以反映和考核部门对机构运转成本的实际控制程度。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公用经费控制率=（实际支出公用经费总额/预算安排公用经费总额）×100%。为100%的计4分，每超过1个百分点扣0.1分，扣完为止。</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eastAsiaTheme="minorEastAsia"/>
                <w:lang w:eastAsia="zh-CN"/>
              </w:rPr>
            </w:pPr>
            <w:r>
              <w:rPr>
                <w:rFonts w:hint="eastAsia" w:ascii="宋体" w:hAnsi="宋体" w:eastAsia="宋体" w:cs="宋体"/>
                <w:sz w:val="24"/>
                <w:szCs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“三公经费”控制率（3分）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部门本年度“三公经费”实际支出数与预算安排数的比率，用以反映和考核部门对“三公经费”的实际控制程度。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“三公经费”控制率=（“三公经费”实际支出数/“三公经费”预算安排数）×100%。为100%的计3分，每超过1个百分点扣0.5分，扣完为止。</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政府采购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执行率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部门本年度实际政府采购金额与年初政府采购预算的比率，用以反映和考核部门政府采购预算执行情况。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(12分)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健全性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部门为加强预算管理、规范财务行为而制定的管理制度是否健全完整，用以反映和考核部门预算管理制度对完成主要职责或促进事业发展的保障情况。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已制定或具有预算资金管理办法、内部财务管理制度、会计核算制度等管理制度计1分；相关管理制度合法、合规、完整计0.5分；相关管理制度得到有效执行计0.5分。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资金使用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合规性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部门使用预算资金是否符合相关的预算财务管理制度的规定，用以反映和考核部门预算资金的规范运行情况。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①符合国家财经法规和财务管理制度规定以及有关专项资金管理办法的规定计1分；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②资金的拨付有完整的审批程序和手续计1分；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③项目的重大开支经过评估论证计1分；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④符合部门预算批复的用途计1分；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⑤不存在截留、挤占、挪用、虚列支出等情况计1分。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预决算信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息公开性（2分）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部门是否按照政府信息公开有关规定公开相关预决算信息，用以反映和考核部门预决算管理的公开透明情况。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①按规定内容公开预决算信息计1分；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②按规定时限公开预决算信息计1分。预决算信息是指与部门预算、执行、决算、监督、绩效等管理相关的信息。</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基础信息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完善性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（3分）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部门基础信息是否完善，用以反映和考核基础信息对预算管理工作的支撑情况。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①基础数据信息和会计信息资料真实计1分；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②基础数据信息和会计信息资料完整计1分；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③基础数据信息和会计信息资料准确计1分。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8"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健全性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部门为加强资产管理、规范资产管理行为而制定的管理制度是否健全完整，用以反映和考核部门资产管理制度对完成主要职责或促进社会发展的保障情况。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①制定或具有资产管理制度计1分；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②相关资金管理制度合法、合规、完整计0.5分；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③相关资产管理制度得到有效执行计0.5分。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资产管理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安全性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部门的资产是否保存完整、使用合规、配置合理、处置规范、收入及时足额上缴，用以反映和考核部门资产安全运行情况。</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①资产保存完整计0.4分；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②资产配置合理计0.4分；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③资产处置规范计0.4分；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④资产账务管理合规、帐实相符计0.4分；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⑤资产有偿使用及处置收入及时足额上缴计0.4分。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固定资产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利用率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color w:val="000000"/>
                <w:sz w:val="21"/>
                <w:szCs w:val="21"/>
                <w:highlight w:val="none"/>
              </w:rPr>
              <w:t>（1分）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部门实际在用固定资产总额与所有固定资产总额的比率，用以反映和考核部门固定资产使用效率程度。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固定资产利用率=（实际在用固定资产总额/所有固定资产总额）×100%。利用率为100%的计1分，每降1个百分点扣0.1分，扣完为止。</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94"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产出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履行</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实际完成率（5分）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部门履行职责而实际完成工作数与计划工作数的比率，用以反映和考核部门履职工作任务目标的实现程度。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实际完成率得分=完成县委县政府绩效考核得分或上级主管部门考核指标得分/指标分值*5分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6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完成及时率（4分）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部门在规定时限内及时完成的实际工作数与计划工作数的比率,用以反映和考核部门履职时效目标的实现程度。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600" w:lineRule="atLeast"/>
              <w:ind w:left="0" w:right="0"/>
              <w:jc w:val="both"/>
            </w:pPr>
            <w:r>
              <w:rPr>
                <w:rFonts w:hint="eastAsia" w:ascii="宋体" w:hAnsi="宋体" w:eastAsia="宋体" w:cs="宋体"/>
                <w:color w:val="000000"/>
                <w:sz w:val="21"/>
                <w:szCs w:val="21"/>
              </w:rPr>
              <w:t>完成及时率=（及时完成实际工作数/计划工作数）×100%。1-4季度各得1分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质量达标率（5分）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达到质量标准（绩效标准值）的实际工作数与计划工作数的比率,用以反映和考核部门履职质量目标的实现程度。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highlight w:val="none"/>
              </w:rPr>
            </w:pPr>
            <w:r>
              <w:rPr>
                <w:rFonts w:hint="eastAsia" w:ascii="宋体" w:hAnsi="宋体" w:eastAsia="宋体" w:cs="宋体"/>
                <w:color w:val="000000"/>
                <w:sz w:val="21"/>
                <w:szCs w:val="21"/>
                <w:highlight w:val="none"/>
              </w:rPr>
              <w:t>质量达标率=（质量达标实际工作数/计划工作数）×100%。实际得分=达标率*5分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highlight w:val="none"/>
              </w:rPr>
            </w:pPr>
            <w:r>
              <w:rPr>
                <w:rFonts w:hint="eastAsia" w:ascii="宋体" w:hAnsi="宋体" w:eastAsia="宋体" w:cs="宋体"/>
                <w:sz w:val="24"/>
                <w:szCs w:val="24"/>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重点工作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办结率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（6分）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部门年度重点工作实际完成数与交办或下达数的比率，用以反映部门对重点工作的办理落实程度。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重点工作办结率=（重点工作实际完成数/交办或下达数）×100%。实际得分=办结率*6分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(20分)</w:t>
            </w:r>
          </w:p>
        </w:tc>
        <w:tc>
          <w:tcPr>
            <w:tcW w:w="0" w:type="auto"/>
            <w:vMerge w:val="restart"/>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履职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效益(20分)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经济效益（5分）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部门履行职责对经济发展所带来的直接或间接影响。</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按经济效益实现程度计算得分（5分）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社会效益（5分）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部门履行职责对社会发展所带来的直接或间接影响。</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pPr>
            <w:r>
              <w:rPr>
                <w:rFonts w:hint="eastAsia" w:ascii="宋体" w:hAnsi="宋体" w:eastAsia="宋体" w:cs="宋体"/>
                <w:color w:val="000000"/>
                <w:kern w:val="0"/>
                <w:sz w:val="21"/>
                <w:szCs w:val="21"/>
                <w:lang w:val="en-US" w:eastAsia="zh-CN" w:bidi="ar"/>
              </w:rPr>
              <w:t>按社会效益实现程度计算得分（5分）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宋体" w:hAnsi="宋体" w:eastAsia="宋体" w:cs="宋体"/>
                <w:color w:val="000000"/>
                <w:kern w:val="0"/>
                <w:sz w:val="21"/>
                <w:szCs w:val="21"/>
                <w:lang w:val="en-US" w:eastAsia="zh-CN" w:bidi="ar"/>
              </w:rPr>
              <w:t>行政效能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pPr>
            <w:r>
              <w:rPr>
                <w:rFonts w:hint="eastAsia" w:ascii="宋体" w:hAnsi="宋体" w:eastAsia="宋体" w:cs="宋体"/>
                <w:color w:val="000000"/>
                <w:kern w:val="0"/>
                <w:sz w:val="21"/>
                <w:szCs w:val="21"/>
                <w:lang w:val="en-US" w:eastAsia="zh-CN" w:bidi="ar"/>
              </w:rPr>
              <w:t>（5分）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促进部门改进文风会风，加强经费及资产管理，推动网上办事，提高行政效率。</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降低行政成本效果较好的计6分；一般3分；无效果或者效果不明显0分。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color="auto" w:fill="auto"/>
            <w:tcMar>
              <w:top w:w="10" w:type="dxa"/>
              <w:left w:w="10" w:type="dxa"/>
              <w:right w:w="10"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社会公众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或服务对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象满意度（5分）</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社会公众或部门的服务对象对部门履职效果的满意程度。</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sz w:val="18"/>
                <w:szCs w:val="18"/>
              </w:rPr>
              <w:t>90%</w:t>
            </w:r>
            <w:r>
              <w:rPr>
                <w:rFonts w:hint="eastAsia" w:ascii="宋体" w:hAnsi="宋体" w:eastAsia="宋体" w:cs="宋体"/>
                <w:color w:val="000000"/>
                <w:sz w:val="21"/>
                <w:szCs w:val="21"/>
              </w:rPr>
              <w:t>（含）以上计5分；80%（含）-90%，计4分；70%（含）-80%，计3分；60%（含）-70%，计2分；低于60%计0分。</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8" w:hRule="atLeast"/>
          <w:jc w:val="center"/>
        </w:trPr>
        <w:tc>
          <w:tcPr>
            <w:tcW w:w="0" w:type="auto"/>
            <w:tcBorders>
              <w:top w:val="nil"/>
              <w:left w:val="single" w:color="auto" w:sz="8" w:space="0"/>
              <w:bottom w:val="nil"/>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总分</w:t>
            </w:r>
          </w:p>
        </w:tc>
        <w:tc>
          <w:tcPr>
            <w:tcW w:w="0" w:type="auto"/>
            <w:tcBorders>
              <w:top w:val="nil"/>
              <w:left w:val="nil"/>
              <w:bottom w:val="nil"/>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100</w:t>
            </w:r>
          </w:p>
        </w:tc>
        <w:tc>
          <w:tcPr>
            <w:tcW w:w="0" w:type="auto"/>
            <w:tcBorders>
              <w:top w:val="nil"/>
              <w:left w:val="nil"/>
              <w:bottom w:val="nil"/>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100　</w:t>
            </w:r>
          </w:p>
        </w:tc>
        <w:tc>
          <w:tcPr>
            <w:tcW w:w="0" w:type="auto"/>
            <w:tcBorders>
              <w:top w:val="nil"/>
              <w:left w:val="nil"/>
              <w:bottom w:val="nil"/>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nil"/>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nil"/>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rPr>
              <w:t>9</w:t>
            </w:r>
            <w:r>
              <w:rPr>
                <w:rFonts w:hint="eastAsia" w:ascii="宋体" w:hAnsi="宋体" w:eastAsia="宋体" w:cs="宋体"/>
                <w:sz w:val="24"/>
                <w:szCs w:val="24"/>
                <w:lang w:val="en-US" w:eastAsia="zh-CN"/>
              </w:rPr>
              <w:t>8</w:t>
            </w:r>
            <w:r>
              <w:rPr>
                <w:rFonts w:hint="eastAsia" w:ascii="宋体" w:hAnsi="宋体" w:eastAsia="宋体" w:cs="宋体"/>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jc w:val="center"/>
        </w:trPr>
        <w:tc>
          <w:tcPr>
            <w:tcW w:w="0" w:type="auto"/>
            <w:tcBorders>
              <w:top w:val="nil"/>
              <w:left w:val="single" w:color="auto" w:sz="8" w:space="0"/>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tcMar>
              <w:top w:w="10" w:type="dxa"/>
              <w:left w:w="10" w:type="dxa"/>
              <w:right w:w="1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eastAsia" w:ascii="宋体" w:hAnsi="宋体" w:eastAsia="宋体" w:cs="宋体"/>
                <w:color w:val="000000"/>
                <w:sz w:val="21"/>
                <w:szCs w:val="21"/>
              </w:rPr>
              <w:t> </w:t>
            </w:r>
          </w:p>
        </w:tc>
        <w:tc>
          <w:tcPr>
            <w:tcW w:w="0" w:type="auto"/>
            <w:tcBorders>
              <w:top w:val="nil"/>
              <w:left w:val="nil"/>
              <w:bottom w:val="single" w:color="auto" w:sz="8" w:space="0"/>
              <w:right w:val="single" w:color="auto" w:sz="8"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Times New Roman" w:hAnsi="Times New Roman" w:cs="Times New Roman"/>
                <w:sz w:val="24"/>
                <w:szCs w:val="24"/>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B5B5B5"/>
          <w:spacing w:val="0"/>
          <w:sz w:val="16"/>
          <w:szCs w:val="1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穝灿砰">
    <w:altName w:val="宋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CA667B"/>
    <w:multiLevelType w:val="multilevel"/>
    <w:tmpl w:val="B2CA667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00000003"/>
    <w:multiLevelType w:val="singleLevel"/>
    <w:tmpl w:val="00000003"/>
    <w:lvl w:ilvl="0" w:tentative="0">
      <w:start w:val="1"/>
      <w:numFmt w:val="chineseCounting"/>
      <w:suff w:val="nothing"/>
      <w:lvlText w:val="（%1）"/>
      <w:lvlJc w:val="left"/>
      <w:rPr>
        <w:rFonts w:hint="eastAsia"/>
      </w:rPr>
    </w:lvl>
  </w:abstractNum>
  <w:abstractNum w:abstractNumId="2">
    <w:nsid w:val="00000005"/>
    <w:multiLevelType w:val="singleLevel"/>
    <w:tmpl w:val="00000005"/>
    <w:lvl w:ilvl="0" w:tentative="0">
      <w:start w:val="1"/>
      <w:numFmt w:val="decimal"/>
      <w:suff w:val="nothing"/>
      <w:lvlText w:val="（%1）"/>
      <w:lvlJc w:val="left"/>
    </w:lvl>
  </w:abstractNum>
  <w:abstractNum w:abstractNumId="3">
    <w:nsid w:val="00000009"/>
    <w:multiLevelType w:val="singleLevel"/>
    <w:tmpl w:val="00000009"/>
    <w:lvl w:ilvl="0" w:tentative="0">
      <w:start w:val="1"/>
      <w:numFmt w:val="decimal"/>
      <w:suff w:val="nothing"/>
      <w:lvlText w:val="%1、"/>
      <w:lvlJc w:val="left"/>
      <w:pPr>
        <w:ind w:left="64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NzVmODg0MWMzNjYwN2JmYWJhZmRkZTJjODEyOTIifQ=="/>
  </w:docVars>
  <w:rsids>
    <w:rsidRoot w:val="05005FD4"/>
    <w:rsid w:val="00500138"/>
    <w:rsid w:val="00B12E5B"/>
    <w:rsid w:val="01D84888"/>
    <w:rsid w:val="01E8643C"/>
    <w:rsid w:val="02D50DC8"/>
    <w:rsid w:val="04C80BE4"/>
    <w:rsid w:val="05005FD4"/>
    <w:rsid w:val="09C53944"/>
    <w:rsid w:val="0BCB68A3"/>
    <w:rsid w:val="0FD91EF8"/>
    <w:rsid w:val="120B3EBE"/>
    <w:rsid w:val="13372BA8"/>
    <w:rsid w:val="13983E78"/>
    <w:rsid w:val="13A116C1"/>
    <w:rsid w:val="15842905"/>
    <w:rsid w:val="15A05265"/>
    <w:rsid w:val="17CD1761"/>
    <w:rsid w:val="181F06C4"/>
    <w:rsid w:val="18CE3E98"/>
    <w:rsid w:val="1C0A70D5"/>
    <w:rsid w:val="1CB3762C"/>
    <w:rsid w:val="1E060B52"/>
    <w:rsid w:val="1E6A780F"/>
    <w:rsid w:val="204612CC"/>
    <w:rsid w:val="23EB7FF4"/>
    <w:rsid w:val="27075144"/>
    <w:rsid w:val="292024ED"/>
    <w:rsid w:val="2DD0037A"/>
    <w:rsid w:val="2F2C1C8E"/>
    <w:rsid w:val="31DB16A7"/>
    <w:rsid w:val="345C4E5A"/>
    <w:rsid w:val="36FC6348"/>
    <w:rsid w:val="37166CDE"/>
    <w:rsid w:val="375D4D8C"/>
    <w:rsid w:val="38836192"/>
    <w:rsid w:val="389B050C"/>
    <w:rsid w:val="3A7471B4"/>
    <w:rsid w:val="3A8C79E3"/>
    <w:rsid w:val="3AE67B2E"/>
    <w:rsid w:val="3E833E1A"/>
    <w:rsid w:val="3F2538A7"/>
    <w:rsid w:val="412A2302"/>
    <w:rsid w:val="417967E7"/>
    <w:rsid w:val="42611C86"/>
    <w:rsid w:val="43C0660A"/>
    <w:rsid w:val="44CB1108"/>
    <w:rsid w:val="45E561F9"/>
    <w:rsid w:val="48822425"/>
    <w:rsid w:val="4AB32D6A"/>
    <w:rsid w:val="4AFA5160"/>
    <w:rsid w:val="4BED47E4"/>
    <w:rsid w:val="523A62D5"/>
    <w:rsid w:val="53A70F92"/>
    <w:rsid w:val="53DD0E57"/>
    <w:rsid w:val="55067F3A"/>
    <w:rsid w:val="56334D5F"/>
    <w:rsid w:val="56A30136"/>
    <w:rsid w:val="586E6522"/>
    <w:rsid w:val="5A6922A2"/>
    <w:rsid w:val="5CF96441"/>
    <w:rsid w:val="5D3715D8"/>
    <w:rsid w:val="5D535CE6"/>
    <w:rsid w:val="5D6F463D"/>
    <w:rsid w:val="5D9E1657"/>
    <w:rsid w:val="5E6A153A"/>
    <w:rsid w:val="5E7C48A6"/>
    <w:rsid w:val="603E03DD"/>
    <w:rsid w:val="65674B5C"/>
    <w:rsid w:val="671F2266"/>
    <w:rsid w:val="6BDB5825"/>
    <w:rsid w:val="6D0F0262"/>
    <w:rsid w:val="6E8B4955"/>
    <w:rsid w:val="6EB505AF"/>
    <w:rsid w:val="6ED940F7"/>
    <w:rsid w:val="6EE4528E"/>
    <w:rsid w:val="718524BB"/>
    <w:rsid w:val="724D7270"/>
    <w:rsid w:val="72D62670"/>
    <w:rsid w:val="72F53670"/>
    <w:rsid w:val="73920D98"/>
    <w:rsid w:val="751C71B6"/>
    <w:rsid w:val="78485FF0"/>
    <w:rsid w:val="7D3138D4"/>
    <w:rsid w:val="7D9B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next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首行缩进 21"/>
    <w:basedOn w:val="1"/>
    <w:next w:val="5"/>
    <w:qFormat/>
    <w:uiPriority w:val="0"/>
    <w:pPr>
      <w:ind w:left="200" w:leftChars="200"/>
    </w:pPr>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7334</Words>
  <Characters>8063</Characters>
  <Lines>0</Lines>
  <Paragraphs>0</Paragraphs>
  <TotalTime>2</TotalTime>
  <ScaleCrop>false</ScaleCrop>
  <LinksUpToDate>false</LinksUpToDate>
  <CharactersWithSpaces>8071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2021-10-12T00:46:00Z</dcterms:created>
  <dc:creator>PC</dc:creator>
  <cp:lastModifiedBy>Administrator</cp:lastModifiedBy>
  <dcterms:modified xsi:type="dcterms:W3CDTF">2023-03-30T07:12:06Z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65A534E1D38645E594F75BFC30A7EFF9</vt:lpwstr>
  </property>
</Properties>
</file>