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E" w:rsidRDefault="008D28E7" w:rsidP="00B86BCE">
      <w:pPr>
        <w:ind w:firstLineChars="400" w:firstLine="1760"/>
        <w:rPr>
          <w:rFonts w:ascii="方正小标宋简体" w:eastAsia="方正小标宋简体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预算绩效管理工作考核评分表</w:t>
      </w:r>
    </w:p>
    <w:p w:rsidR="00B86BCE" w:rsidRPr="00B86BCE" w:rsidRDefault="00B86BCE" w:rsidP="00B86BCE">
      <w:pPr>
        <w:ind w:firstLineChars="400" w:firstLine="1280"/>
        <w:rPr>
          <w:rFonts w:ascii="方正小标宋简体" w:eastAsia="方正小标宋简体" w:hAnsi="仿宋_GB2312" w:cs="仿宋_GB2312"/>
          <w:sz w:val="32"/>
          <w:szCs w:val="32"/>
        </w:rPr>
      </w:pPr>
    </w:p>
    <w:p w:rsidR="00FA6009" w:rsidRDefault="008D28E7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 w:rsidR="00D4613F">
        <w:rPr>
          <w:rFonts w:hint="eastAsia"/>
          <w:sz w:val="24"/>
        </w:rPr>
        <w:t>21</w:t>
      </w:r>
      <w:r>
        <w:rPr>
          <w:rFonts w:hint="eastAsia"/>
          <w:sz w:val="24"/>
        </w:rPr>
        <w:t>年度）</w:t>
      </w:r>
    </w:p>
    <w:p w:rsidR="00FA6009" w:rsidRDefault="008D28E7">
      <w:pPr>
        <w:rPr>
          <w:sz w:val="24"/>
        </w:rPr>
      </w:pPr>
      <w:r>
        <w:rPr>
          <w:rFonts w:hint="eastAsia"/>
          <w:sz w:val="24"/>
        </w:rPr>
        <w:t>乡镇、部门（单位）：</w:t>
      </w:r>
      <w:r w:rsidR="00F52B5A">
        <w:rPr>
          <w:rFonts w:hint="eastAsia"/>
          <w:sz w:val="24"/>
        </w:rPr>
        <w:t>曲沃县</w:t>
      </w:r>
      <w:r w:rsidR="009C178A">
        <w:rPr>
          <w:rFonts w:hint="eastAsia"/>
          <w:sz w:val="24"/>
        </w:rPr>
        <w:t>供销合作社联合社</w:t>
      </w:r>
      <w:r>
        <w:rPr>
          <w:rFonts w:hint="eastAsia"/>
          <w:sz w:val="24"/>
        </w:rPr>
        <w:t xml:space="preserve">              </w:t>
      </w:r>
      <w:r w:rsidR="00D4613F"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D4613F">
        <w:rPr>
          <w:rFonts w:hint="eastAsia"/>
          <w:sz w:val="24"/>
        </w:rPr>
        <w:t>12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D4613F">
        <w:rPr>
          <w:rFonts w:hint="eastAsia"/>
          <w:sz w:val="24"/>
        </w:rPr>
        <w:t xml:space="preserve">30 </w:t>
      </w:r>
      <w:r>
        <w:rPr>
          <w:rFonts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"/>
        <w:gridCol w:w="4679"/>
        <w:gridCol w:w="708"/>
        <w:gridCol w:w="703"/>
      </w:tblGrid>
      <w:tr w:rsidR="00FA6009">
        <w:trPr>
          <w:trHeight w:val="480"/>
          <w:tblHeader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考核</w:t>
            </w:r>
          </w:p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内容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计分标准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自评分数</w:t>
            </w:r>
          </w:p>
        </w:tc>
        <w:tc>
          <w:tcPr>
            <w:tcW w:w="383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评定分数</w:t>
            </w:r>
          </w:p>
        </w:tc>
      </w:tr>
      <w:tr w:rsidR="00FA6009">
        <w:trPr>
          <w:trHeight w:val="585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一、基础工作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932B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（截至</w:t>
            </w:r>
            <w:r w:rsidR="00932B16">
              <w:rPr>
                <w:rFonts w:ascii="宋体" w:hAnsi="宋体" w:hint="eastAsia"/>
                <w:b/>
                <w:color w:val="000000"/>
                <w:szCs w:val="21"/>
              </w:rPr>
              <w:t>2021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年底基础工作情况）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4D022D">
            <w:pPr>
              <w:jc w:val="center"/>
              <w:rPr>
                <w:rFonts w:ascii="Calibri" w:hAnsi="Calibri"/>
                <w:b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</w:p>
        </w:tc>
      </w:tr>
      <w:tr w:rsidR="00FA6009">
        <w:trPr>
          <w:trHeight w:val="724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（一）组织保障（4）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1.明确预算绩效管理职能并指定专人负责的，得1分；成立预算绩效管理领导小组或专门机构的，得1分。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Pr="000B0F0D" w:rsidRDefault="00FA6009"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FA6009">
        <w:trPr>
          <w:trHeight w:val="1170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2.乡镇、部门主要领导就推进预算绩效管理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作出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批示或召开会议进行部署的,每次1分：乡镇、部门其他领导就推进预算绩效管理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作出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批示或召开会议进行部署的，每次0.5分。本项最多2分。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759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（二）制度建设（4）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3.制定本乡镇、部门（系统）全面实施预算绩效管理顶层制度的，得1分。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21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4.制定指导本乡镇、部门（系统）预算绩效管理具体实施细则或办法、预算绩效管理内部操作规程的，每个1分。本项最多3分。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707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（三）指标体系（3）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5.建立本乡镇、部门（系统）分行业、分领域、分层次预算绩效指标和标准体系的，得3分。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708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（四）宣传培训（4）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6.利用各种媒体形式，宣传本乡镇、部门（系统）预算绩效管理工作，创造良好社会舆论氛围的，每篇0.25分。本项最多2分。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9C178A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56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7.参加县财政局、本部门（系统）上级组织的，或举办本乡镇、部门预算绩效管理培训、工作会议的，每次0.5分。本项最多2分。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二、事前绩效评估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10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932B16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（20</w:t>
            </w:r>
            <w:r w:rsidR="00932B16">
              <w:rPr>
                <w:rFonts w:ascii="宋体" w:hAnsi="宋体" w:hint="eastAsia"/>
                <w:b/>
                <w:b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年部门预算事前绩效评估情况）</w:t>
            </w:r>
          </w:p>
        </w:tc>
        <w:tc>
          <w:tcPr>
            <w:tcW w:w="386" w:type="pct"/>
            <w:noWrap/>
            <w:vAlign w:val="center"/>
          </w:tcPr>
          <w:p w:rsidR="00FA6009" w:rsidRPr="00932B16" w:rsidRDefault="009C178A" w:rsidP="009C178A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6.7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73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（一）范围和规模(7)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1.事前绩效评估管理范围，得分=（开展事前绩效评估的本乡镇、部门预算单位级次/乡镇、部门所属预算单位总级次）×2。</w:t>
            </w:r>
          </w:p>
        </w:tc>
        <w:tc>
          <w:tcPr>
            <w:tcW w:w="386" w:type="pct"/>
            <w:noWrap/>
            <w:vAlign w:val="center"/>
          </w:tcPr>
          <w:p w:rsidR="00FA6009" w:rsidRPr="000B0F0D" w:rsidRDefault="000B0F0D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56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2.事前绩效评估管理规模,得分=（事前绩效评估的项目个数/部门项目个数）×5。</w:t>
            </w:r>
          </w:p>
        </w:tc>
        <w:tc>
          <w:tcPr>
            <w:tcW w:w="386" w:type="pct"/>
            <w:noWrap/>
            <w:vAlign w:val="center"/>
          </w:tcPr>
          <w:p w:rsidR="00FA6009" w:rsidRPr="00932B16" w:rsidRDefault="009C178A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1.6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707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（二）结果应用（3）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3.将事前绩效评估结果应用于乡镇、部门预算编制的，得3分。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932B16" w:rsidRDefault="00932B1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40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三、绩效目标管理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25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932B1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（20</w:t>
            </w:r>
            <w:r w:rsidR="00932B16">
              <w:rPr>
                <w:rFonts w:ascii="宋体" w:hAnsi="宋体" w:hint="eastAsia"/>
                <w:b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年预算绩效目标管理情况）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b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Cs w:val="21"/>
              </w:rPr>
              <w:t>25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</w:p>
        </w:tc>
      </w:tr>
      <w:tr w:rsidR="00FA6009">
        <w:trPr>
          <w:trHeight w:val="540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（一）质量控制（9）</w:t>
            </w:r>
          </w:p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1.申报的绩效目标符合规定格式要求的，内容完整的，得3分。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b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</w:p>
        </w:tc>
      </w:tr>
      <w:tr w:rsidR="00FA6009">
        <w:trPr>
          <w:trHeight w:val="690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2.绩效目标设定符合项目特点的，得1分;绩效目标描述清晰明确的，得2分。否则，酌情扣分。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3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3.绩效指标设定符合基本要求的，得1分；绩效指标值量化、有明确标准的，得2分。否则，酌情扣分。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90"/>
        </w:trPr>
        <w:tc>
          <w:tcPr>
            <w:tcW w:w="1295" w:type="pct"/>
            <w:vMerge w:val="restart"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（二）范围和规模（8）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4.绩效目标管理范围，得分=（绩效目标管理所涵盖的预算单位级次/乡镇、部门所属预算单位总级次）×2。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90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5.绩效目标管理规模，得分=（纳入绩效目标管理的项目支出金额/乡镇、部门项目支出金额）×6。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6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53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（三）</w:t>
            </w:r>
            <w:r>
              <w:rPr>
                <w:rFonts w:ascii="Calibri" w:eastAsia="Calibri" w:hAnsi="Calibri" w:hint="eastAsia"/>
                <w:color w:val="000000"/>
                <w:szCs w:val="21"/>
              </w:rPr>
              <w:t>管理模式（8）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6.填报本乡镇、部门整体绩效目标的，得2分；绩效目标填报符合要求的，得1分。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70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7.所属二级预算单位填报整体支出绩效目标并符合要求的，得分=（填报整体支出绩效目标的二级预算单位数/乡镇、部门所属二级预算单位总数）×5。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5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827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四、绩效运行监控管理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2A3D23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</w:t>
            </w:r>
            <w:r w:rsidR="002A3D23">
              <w:rPr>
                <w:rFonts w:ascii="宋体" w:hAnsi="宋体" w:hint="eastAsia"/>
                <w:b/>
                <w:color w:val="000000"/>
                <w:szCs w:val="21"/>
              </w:rPr>
              <w:t>2021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年度实施当年绩效运行监控情况）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21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（一）范围和规模（8）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1.绩效运行监控管理范围，得分=（绩效运行监控管理所涵盖的预算单位级次/乡镇、部门所属预算单位总级次）×2。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b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</w:p>
        </w:tc>
      </w:tr>
      <w:tr w:rsidR="00FA6009">
        <w:trPr>
          <w:trHeight w:val="604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2.绩效运行监控管理规模，得分=（纳入绩效运行监控管理的项目支出金额/乡镇、部门项目支出金额）×3（纳入绩效运行监控管理的项目支出金额/纳入绩效目标管理的项目支出金额）×3。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6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913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（二）信息应用（2）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3.定期采集绩效运行信息并运行汇总分析的，得1分。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67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4.确保绩效目标如期实现，或对偏离绩效目标、预期无效项目及时提出纠正或调整意见的，得1</w:t>
            </w:r>
            <w:r>
              <w:rPr>
                <w:rFonts w:ascii="Calibri" w:eastAsia="宋体" w:hAnsi="Calibri" w:hint="eastAsia"/>
                <w:color w:val="000000"/>
                <w:szCs w:val="21"/>
              </w:rPr>
              <w:t>分</w:t>
            </w:r>
            <w:r>
              <w:rPr>
                <w:rFonts w:ascii="Calibri" w:eastAsia="Calibri" w:hAnsi="Calibri" w:hint="eastAsia"/>
                <w:color w:val="000000"/>
                <w:szCs w:val="21"/>
              </w:rPr>
              <w:t>。</w:t>
            </w:r>
          </w:p>
        </w:tc>
        <w:tc>
          <w:tcPr>
            <w:tcW w:w="386" w:type="pct"/>
            <w:noWrap/>
            <w:vAlign w:val="center"/>
          </w:tcPr>
          <w:p w:rsidR="00FA6009" w:rsidRPr="002A3D23" w:rsidRDefault="002A3D23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56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五、绩效评价管理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2A3D23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（20</w:t>
            </w:r>
            <w:r w:rsidR="002A3D23">
              <w:rPr>
                <w:rFonts w:ascii="宋体" w:hAnsi="宋体" w:hint="eastAsia"/>
                <w:b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年完成以前年度的绩效评价情况）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 w:rsidP="00824308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  <w:r w:rsidR="00824308">
              <w:rPr>
                <w:rFonts w:ascii="Calibri" w:hAnsi="Calibri" w:hint="eastAsia"/>
                <w:color w:val="000000"/>
                <w:szCs w:val="21"/>
              </w:rPr>
              <w:t>4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50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（一）报送要求（4）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1.在规定时间内完成绩效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并向县财政局提交自评价报告的，得2分；每逾期报送一天扣0.5</w:t>
            </w:r>
            <w:r>
              <w:rPr>
                <w:rFonts w:ascii="Calibri" w:eastAsia="Calibri" w:hAnsi="Calibri" w:hint="eastAsia"/>
                <w:color w:val="000000"/>
                <w:szCs w:val="21"/>
              </w:rPr>
              <w:lastRenderedPageBreak/>
              <w:t>分，扣完为止。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b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2.报送得分=（实际报送县财政局的绩效自评价报告个数/纳入绩效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的项目个数）×2。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52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（二）质量要求（6）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3.绩效自评价报告基本格式规范的，得1分；各项内容完整的，得1分。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19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 绩效自评价报告中各项评价指标明确的，得1分；相关数据齐全、标准清楚、评价结果客观合理的，得1分。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35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5. 绩效</w:t>
            </w:r>
            <w:r>
              <w:rPr>
                <w:rFonts w:ascii="Calibri" w:eastAsia="宋体" w:hAnsi="Calibri" w:hint="eastAsia"/>
                <w:color w:val="000000"/>
                <w:szCs w:val="21"/>
              </w:rPr>
              <w:t>自</w:t>
            </w:r>
            <w:r>
              <w:rPr>
                <w:rFonts w:ascii="Calibri" w:eastAsia="Calibri" w:hAnsi="Calibri" w:hint="eastAsia"/>
                <w:color w:val="000000"/>
                <w:szCs w:val="21"/>
              </w:rPr>
              <w:t>评价报告中对问题分析全面深入的，得1分；所提建议针对性强的，得1分。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70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（三）范围和规模（8）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6.绩效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开展情况，得分=（开展绩效自评的项目支出金额/部门项目支出金额）×2＋（开展绩效自评的项目支出金额/纳入绩效目标管理的项目支出金额）×2。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4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912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7.自主开展部门重点绩效评价的，每个项目得1分，本项最高</w:t>
            </w:r>
            <w:r>
              <w:rPr>
                <w:rFonts w:ascii="Calibri" w:eastAsia="宋体" w:hAnsi="Calibri" w:hint="eastAsia"/>
                <w:color w:val="000000"/>
                <w:szCs w:val="21"/>
              </w:rPr>
              <w:t>得</w:t>
            </w:r>
            <w:r>
              <w:rPr>
                <w:rFonts w:ascii="Calibri" w:eastAsia="Calibri" w:hAnsi="Calibri" w:hint="eastAsia"/>
                <w:color w:val="000000"/>
                <w:szCs w:val="21"/>
              </w:rPr>
              <w:t>4分。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02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（四）评价创新（2）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8.对部门所属二级预算单位开展整体支出绩效评价的，得1分。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824308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70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9.委托第三方机构进行绩效评价的，得1分。</w:t>
            </w:r>
          </w:p>
        </w:tc>
        <w:tc>
          <w:tcPr>
            <w:tcW w:w="386" w:type="pct"/>
            <w:noWrap/>
            <w:vAlign w:val="center"/>
          </w:tcPr>
          <w:p w:rsidR="00FA6009" w:rsidRPr="0020198B" w:rsidRDefault="0020198B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35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六、评价结果应用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  <w:szCs w:val="21"/>
              </w:rPr>
              <w:t>15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6459FA">
            <w:pPr>
              <w:jc w:val="left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（20</w:t>
            </w:r>
            <w:r w:rsidR="006459FA">
              <w:rPr>
                <w:rFonts w:ascii="宋体" w:hAnsi="宋体" w:hint="eastAsia"/>
                <w:b/>
                <w:b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年完成的以前年度绩效评价结果应用情况）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15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05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（一）反馈与整改（5）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1.将绩效评价结果反馈到所属单位并督促落实整改的，得3分。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05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2.向县财政局报送评价结果反馈整改落实情况的，得2分。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36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（二）应用方式（10）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3.评价结果报告情况，将评价结果向县委、县政府、县人大报告的，得3分。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36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4.建立评价结果与预算编制挂钩机制，将评价结果作为所属预算单位预算安排和调整的重要依据的，得3分。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36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5.将评价结果作为对所属预算单位考核依据的，得2分。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36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6.建立绩效问责机制的，得2分。</w:t>
            </w:r>
          </w:p>
        </w:tc>
        <w:tc>
          <w:tcPr>
            <w:tcW w:w="386" w:type="pct"/>
            <w:noWrap/>
            <w:vAlign w:val="center"/>
          </w:tcPr>
          <w:p w:rsidR="00FA6009" w:rsidRPr="007A270E" w:rsidRDefault="007A270E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21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七、绩效信息公开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 w:rsidP="007A270E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（截止20</w:t>
            </w:r>
            <w:r w:rsidR="007A270E">
              <w:rPr>
                <w:rFonts w:ascii="宋体" w:hAnsi="宋体" w:hint="eastAsia"/>
                <w:b/>
                <w:b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年底工作开展情况）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9C178A">
            <w:pPr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3.4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</w:p>
        </w:tc>
      </w:tr>
      <w:tr w:rsidR="00FA6009">
        <w:trPr>
          <w:trHeight w:val="521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（一）绩效目标公开（3）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1.绩效目标公开情况，得分=（公开绩效目标的项目个数/乡镇、部门非涉密项目总个数）×3。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3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21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（二）评价结果公开（2）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结果公开情况，得分=（公开的项目绩效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结果个数/乡镇、部门非涉密项目绩效</w:t>
            </w:r>
            <w:proofErr w:type="gramStart"/>
            <w:r>
              <w:rPr>
                <w:rFonts w:ascii="Calibri" w:eastAsia="Calibri" w:hAnsi="Calibri" w:hint="eastAsia"/>
                <w:color w:val="000000"/>
                <w:szCs w:val="21"/>
              </w:rPr>
              <w:t>自评价</w:t>
            </w:r>
            <w:proofErr w:type="gramEnd"/>
            <w:r>
              <w:rPr>
                <w:rFonts w:ascii="Calibri" w:eastAsia="Calibri" w:hAnsi="Calibri" w:hint="eastAsia"/>
                <w:color w:val="000000"/>
                <w:szCs w:val="21"/>
              </w:rPr>
              <w:t>结果总个数）×1。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9C178A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0.4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05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3.重点绩效评价结果公开情况，得分=（公开的项目重点绩效评价结果个数/实施重点绩效评价项目总数）×1。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58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八、其他加减分项</w:t>
            </w:r>
          </w:p>
        </w:tc>
        <w:tc>
          <w:tcPr>
            <w:tcW w:w="386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</w:p>
        </w:tc>
        <w:tc>
          <w:tcPr>
            <w:tcW w:w="2550" w:type="pct"/>
            <w:noWrap/>
            <w:vAlign w:val="center"/>
          </w:tcPr>
          <w:p w:rsidR="00FA6009" w:rsidRDefault="008D28E7" w:rsidP="002A1CB6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（截止20</w:t>
            </w:r>
            <w:r w:rsidR="002A1CB6">
              <w:rPr>
                <w:rFonts w:ascii="宋体" w:hAnsi="宋体" w:hint="eastAsia"/>
                <w:b/>
                <w:b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年底工作开展情况）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b/>
                <w:bCs/>
                <w:color w:val="000000"/>
                <w:szCs w:val="21"/>
              </w:rPr>
            </w:pPr>
          </w:p>
        </w:tc>
      </w:tr>
      <w:tr w:rsidR="00FA6009">
        <w:trPr>
          <w:trHeight w:val="741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（一）工作推进（6）</w:t>
            </w:r>
          </w:p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1.乡镇、部门主动在全面实施预算绩效管理方面进行大胆尝试、先行先试并取得成效的，加2分。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468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2.财政重点绩效评价结果为“优”的，加2分。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639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3.积极配合县财政局开展年度财政重点绩效评价或再评价的，加2分。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366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（二）日常信息报送（2）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4.积极完善本乡镇、部门分行业、分领域、分层次绩效指标和标准体系向财政局提出新增、修改等绩效指标建议的，酌情加分，最多2分。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（三）考核材料报送（2）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5.绩效管理考核工作材料报送及时在规定时间内报送的，加1分。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6.绩效管理考核工作材料形式规范，内容完整，有清晰目录，佐证材料齐全的，加1分。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vMerge w:val="restart"/>
            <w:noWrap/>
            <w:vAlign w:val="center"/>
          </w:tcPr>
          <w:p w:rsidR="00FA6009" w:rsidRDefault="008D28E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（四）减分项（-10）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-8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7.在巡视巡察、审计及各类检查中发现存在预算绩效管理方面的问题，每发现一起扣2分，最多扣8分。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vMerge/>
            <w:noWrap/>
            <w:vAlign w:val="center"/>
          </w:tcPr>
          <w:p w:rsidR="00FA6009" w:rsidRDefault="00FA600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-2</w:t>
            </w:r>
          </w:p>
        </w:tc>
        <w:tc>
          <w:tcPr>
            <w:tcW w:w="2550" w:type="pct"/>
            <w:noWrap/>
            <w:vAlign w:val="center"/>
          </w:tcPr>
          <w:p w:rsidR="00FA6009" w:rsidRDefault="008D28E7">
            <w:pPr>
              <w:jc w:val="left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8.财政重点绩效评价结果为“差”的，扣2分。</w:t>
            </w:r>
          </w:p>
        </w:tc>
        <w:tc>
          <w:tcPr>
            <w:tcW w:w="386" w:type="pct"/>
            <w:noWrap/>
            <w:vAlign w:val="center"/>
          </w:tcPr>
          <w:p w:rsidR="00FA6009" w:rsidRPr="002A1CB6" w:rsidRDefault="002A1CB6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0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  <w:tr w:rsidR="00FA6009">
        <w:trPr>
          <w:trHeight w:val="587"/>
        </w:trPr>
        <w:tc>
          <w:tcPr>
            <w:tcW w:w="1295" w:type="pct"/>
            <w:noWrap/>
            <w:vAlign w:val="center"/>
          </w:tcPr>
          <w:p w:rsidR="00FA6009" w:rsidRDefault="008D28E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386" w:type="pct"/>
            <w:noWrap/>
            <w:vAlign w:val="center"/>
          </w:tcPr>
          <w:p w:rsidR="00FA6009" w:rsidRDefault="008D28E7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  <w:r>
              <w:rPr>
                <w:rFonts w:ascii="Calibri" w:eastAsia="Calibri" w:hAnsi="Calibri" w:hint="eastAsia"/>
                <w:color w:val="000000"/>
                <w:szCs w:val="21"/>
              </w:rPr>
              <w:t>100</w:t>
            </w:r>
          </w:p>
        </w:tc>
        <w:tc>
          <w:tcPr>
            <w:tcW w:w="2550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  <w:tc>
          <w:tcPr>
            <w:tcW w:w="386" w:type="pct"/>
            <w:noWrap/>
            <w:vAlign w:val="center"/>
          </w:tcPr>
          <w:p w:rsidR="00FA6009" w:rsidRPr="006436AF" w:rsidRDefault="00824308"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90.1</w:t>
            </w:r>
          </w:p>
        </w:tc>
        <w:tc>
          <w:tcPr>
            <w:tcW w:w="383" w:type="pct"/>
            <w:noWrap/>
            <w:vAlign w:val="center"/>
          </w:tcPr>
          <w:p w:rsidR="00FA6009" w:rsidRDefault="00FA6009">
            <w:pPr>
              <w:jc w:val="center"/>
              <w:rPr>
                <w:rFonts w:ascii="Calibri" w:eastAsia="Calibri" w:hAnsi="Calibri"/>
                <w:color w:val="000000"/>
                <w:szCs w:val="21"/>
              </w:rPr>
            </w:pPr>
          </w:p>
        </w:tc>
      </w:tr>
    </w:tbl>
    <w:p w:rsidR="00FA6009" w:rsidRDefault="008D28E7">
      <w:pPr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联系人： </w:t>
      </w:r>
      <w:r w:rsidR="009C178A">
        <w:rPr>
          <w:rFonts w:ascii="仿宋_GB2312" w:eastAsia="仿宋_GB2312" w:hAnsi="仿宋_GB2312" w:cs="仿宋_GB2312" w:hint="eastAsia"/>
          <w:sz w:val="28"/>
          <w:szCs w:val="32"/>
        </w:rPr>
        <w:t>许小红</w:t>
      </w:r>
      <w:r w:rsidR="009D4AC0"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联系电话：</w:t>
      </w:r>
      <w:r w:rsidR="009D4AC0">
        <w:rPr>
          <w:rFonts w:ascii="仿宋_GB2312" w:eastAsia="仿宋_GB2312" w:hAnsi="仿宋_GB2312" w:cs="仿宋_GB2312" w:hint="eastAsia"/>
          <w:sz w:val="28"/>
          <w:szCs w:val="32"/>
        </w:rPr>
        <w:t>1</w:t>
      </w:r>
      <w:r w:rsidR="009C178A">
        <w:rPr>
          <w:rFonts w:ascii="仿宋_GB2312" w:eastAsia="仿宋_GB2312" w:hAnsi="仿宋_GB2312" w:cs="仿宋_GB2312" w:hint="eastAsia"/>
          <w:sz w:val="28"/>
          <w:szCs w:val="32"/>
        </w:rPr>
        <w:t>3994014122</w:t>
      </w:r>
    </w:p>
    <w:p w:rsidR="00FA6009" w:rsidRDefault="00FA6009">
      <w:pPr>
        <w:rPr>
          <w:rFonts w:ascii="仿宋_GB2312" w:eastAsia="仿宋_GB2312" w:hAnsi="仿宋_GB2312" w:cs="仿宋_GB2312"/>
          <w:sz w:val="28"/>
          <w:szCs w:val="32"/>
        </w:rPr>
      </w:pPr>
    </w:p>
    <w:p w:rsidR="00FA6009" w:rsidRDefault="00FA6009">
      <w:pPr>
        <w:rPr>
          <w:rFonts w:ascii="仿宋_GB2312" w:eastAsia="仿宋_GB2312" w:hAnsi="仿宋_GB2312" w:cs="仿宋_GB2312"/>
          <w:sz w:val="28"/>
          <w:szCs w:val="32"/>
        </w:rPr>
      </w:pPr>
    </w:p>
    <w:p w:rsidR="00FA6009" w:rsidRDefault="00FA6009">
      <w:pPr>
        <w:rPr>
          <w:rFonts w:ascii="仿宋_GB2312" w:eastAsia="仿宋_GB2312" w:hAnsi="仿宋_GB2312" w:cs="仿宋_GB2312"/>
          <w:sz w:val="28"/>
          <w:szCs w:val="32"/>
        </w:rPr>
      </w:pPr>
    </w:p>
    <w:p w:rsidR="00FA6009" w:rsidRDefault="00FA6009">
      <w:pPr>
        <w:rPr>
          <w:rFonts w:ascii="仿宋_GB2312" w:eastAsia="仿宋_GB2312" w:hAnsi="仿宋_GB2312" w:cs="仿宋_GB2312"/>
          <w:sz w:val="28"/>
          <w:szCs w:val="32"/>
        </w:rPr>
      </w:pPr>
    </w:p>
    <w:p w:rsidR="00FA6009" w:rsidRDefault="00FA600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FA6009" w:rsidSect="00FA6009">
      <w:footerReference w:type="even" r:id="rId8"/>
      <w:footerReference w:type="default" r:id="rId9"/>
      <w:pgSz w:w="11906" w:h="16838"/>
      <w:pgMar w:top="1871" w:right="1474" w:bottom="1701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D" w:rsidRDefault="00335A5D" w:rsidP="00FA6009">
      <w:r>
        <w:separator/>
      </w:r>
    </w:p>
  </w:endnote>
  <w:endnote w:type="continuationSeparator" w:id="0">
    <w:p w:rsidR="00335A5D" w:rsidRDefault="00335A5D" w:rsidP="00F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6597403"/>
    </w:sdtPr>
    <w:sdtEndPr/>
    <w:sdtContent>
      <w:p w:rsidR="00FA6009" w:rsidRDefault="00FA6009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D28E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86BCE" w:rsidRPr="00B86B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86BCE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A6009" w:rsidRDefault="00FA60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99"/>
    </w:sdtPr>
    <w:sdtEndPr>
      <w:rPr>
        <w:rFonts w:asciiTheme="minorEastAsia" w:hAnsiTheme="minorEastAsia"/>
        <w:sz w:val="28"/>
        <w:szCs w:val="28"/>
      </w:rPr>
    </w:sdtEndPr>
    <w:sdtContent>
      <w:p w:rsidR="00FA6009" w:rsidRDefault="00FA6009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8D28E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86BCE" w:rsidRPr="00B86B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86BCE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A6009" w:rsidRDefault="00FA60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D" w:rsidRDefault="00335A5D" w:rsidP="00FA6009">
      <w:r>
        <w:separator/>
      </w:r>
    </w:p>
  </w:footnote>
  <w:footnote w:type="continuationSeparator" w:id="0">
    <w:p w:rsidR="00335A5D" w:rsidRDefault="00335A5D" w:rsidP="00FA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12E4"/>
    <w:rsid w:val="000B0F0D"/>
    <w:rsid w:val="000C251A"/>
    <w:rsid w:val="00172A27"/>
    <w:rsid w:val="001D2799"/>
    <w:rsid w:val="001E0C3E"/>
    <w:rsid w:val="0020198B"/>
    <w:rsid w:val="002A1CB6"/>
    <w:rsid w:val="002A3D23"/>
    <w:rsid w:val="00335A5D"/>
    <w:rsid w:val="00395F15"/>
    <w:rsid w:val="00446953"/>
    <w:rsid w:val="004D022D"/>
    <w:rsid w:val="006436AF"/>
    <w:rsid w:val="006459FA"/>
    <w:rsid w:val="006532C1"/>
    <w:rsid w:val="006C6654"/>
    <w:rsid w:val="00753E11"/>
    <w:rsid w:val="007A270E"/>
    <w:rsid w:val="00824308"/>
    <w:rsid w:val="008728AD"/>
    <w:rsid w:val="00880691"/>
    <w:rsid w:val="008D28E7"/>
    <w:rsid w:val="00932B16"/>
    <w:rsid w:val="009C178A"/>
    <w:rsid w:val="009D4AC0"/>
    <w:rsid w:val="00B86BCE"/>
    <w:rsid w:val="00C17025"/>
    <w:rsid w:val="00C91260"/>
    <w:rsid w:val="00D4613F"/>
    <w:rsid w:val="00D73898"/>
    <w:rsid w:val="00F52B5A"/>
    <w:rsid w:val="00FA6009"/>
    <w:rsid w:val="06826B71"/>
    <w:rsid w:val="084A56D0"/>
    <w:rsid w:val="0863617E"/>
    <w:rsid w:val="08A2799E"/>
    <w:rsid w:val="095B5817"/>
    <w:rsid w:val="0A6C2F69"/>
    <w:rsid w:val="11390D54"/>
    <w:rsid w:val="14902DA1"/>
    <w:rsid w:val="15191565"/>
    <w:rsid w:val="15C522F6"/>
    <w:rsid w:val="18C94AD3"/>
    <w:rsid w:val="232303AE"/>
    <w:rsid w:val="25BE2D2F"/>
    <w:rsid w:val="28B529D5"/>
    <w:rsid w:val="2B400DAF"/>
    <w:rsid w:val="2EAA3910"/>
    <w:rsid w:val="30585040"/>
    <w:rsid w:val="35BE6E11"/>
    <w:rsid w:val="38B421CF"/>
    <w:rsid w:val="3A117767"/>
    <w:rsid w:val="40A858AB"/>
    <w:rsid w:val="424B4DDA"/>
    <w:rsid w:val="434C41B3"/>
    <w:rsid w:val="4530039B"/>
    <w:rsid w:val="46EA4CBA"/>
    <w:rsid w:val="4A904BD7"/>
    <w:rsid w:val="4B1530DD"/>
    <w:rsid w:val="4F0A7E54"/>
    <w:rsid w:val="5121421D"/>
    <w:rsid w:val="55030074"/>
    <w:rsid w:val="5765363E"/>
    <w:rsid w:val="5ABF4E13"/>
    <w:rsid w:val="5E486949"/>
    <w:rsid w:val="61073070"/>
    <w:rsid w:val="62E0001C"/>
    <w:rsid w:val="63CC5CC8"/>
    <w:rsid w:val="66D103A8"/>
    <w:rsid w:val="672E75A8"/>
    <w:rsid w:val="692844BD"/>
    <w:rsid w:val="6B0F149F"/>
    <w:rsid w:val="6B303FA9"/>
    <w:rsid w:val="6FD605E0"/>
    <w:rsid w:val="73103856"/>
    <w:rsid w:val="74F97F2D"/>
    <w:rsid w:val="75797C0B"/>
    <w:rsid w:val="7A0521F0"/>
    <w:rsid w:val="7A07200F"/>
    <w:rsid w:val="7ACD2E4B"/>
    <w:rsid w:val="7B5B24DE"/>
    <w:rsid w:val="7F48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6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A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A600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6009"/>
    <w:rPr>
      <w:kern w:val="2"/>
      <w:sz w:val="18"/>
      <w:szCs w:val="18"/>
    </w:rPr>
  </w:style>
  <w:style w:type="paragraph" w:styleId="a5">
    <w:name w:val="Balloon Text"/>
    <w:basedOn w:val="a"/>
    <w:link w:val="Char1"/>
    <w:rsid w:val="00D4613F"/>
    <w:rPr>
      <w:sz w:val="18"/>
      <w:szCs w:val="18"/>
    </w:rPr>
  </w:style>
  <w:style w:type="character" w:customStyle="1" w:styleId="Char1">
    <w:name w:val="批注框文本 Char"/>
    <w:basedOn w:val="a0"/>
    <w:link w:val="a5"/>
    <w:rsid w:val="00D461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469</Words>
  <Characters>2678</Characters>
  <Application>Microsoft Office Word</Application>
  <DocSecurity>0</DocSecurity>
  <Lines>22</Lines>
  <Paragraphs>6</Paragraphs>
  <ScaleCrop>false</ScaleCrop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61</cp:revision>
  <cp:lastPrinted>2022-02-17T03:16:00Z</cp:lastPrinted>
  <dcterms:created xsi:type="dcterms:W3CDTF">2021-12-15T01:45:00Z</dcterms:created>
  <dcterms:modified xsi:type="dcterms:W3CDTF">2022-02-17T03:19:00Z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12EAD8BAE5164F1A8E6DAC0505CABD3F</vt:lpwstr>
  </property>
</Properties>
</file>