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28"/>
          <w:szCs w:val="28"/>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曲沃县人力资源和社会保障局</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整体绩效评价报告</w:t>
      </w:r>
    </w:p>
    <w:p>
      <w:pPr>
        <w:ind w:firstLine="1325" w:firstLineChars="300"/>
        <w:jc w:val="both"/>
        <w:rPr>
          <w:rFonts w:hint="eastAsia" w:asciiTheme="majorEastAsia" w:hAnsiTheme="majorEastAsia" w:eastAsiaTheme="majorEastAsia" w:cstheme="majorEastAsia"/>
          <w:b/>
          <w:bCs/>
          <w:sz w:val="44"/>
          <w:szCs w:val="44"/>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一、部门（单位）基本情况</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（一）部门（单位）概况</w:t>
      </w:r>
    </w:p>
    <w:p>
      <w:pPr>
        <w:widowControl/>
        <w:spacing w:line="62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曲沃县人力资源和社会保障局于2010年8月由原人事局和原劳动和社会保障局正式合并组建。局机关内设</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个行政股室，分别是办公室、事业单位人事管理股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工资福利股、专业技术人员管理股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资金基金监管股、人力资源开发和就业促进股、社会保险管理股</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监察仲裁股</w:t>
      </w:r>
      <w:r>
        <w:rPr>
          <w:rFonts w:hint="eastAsia" w:ascii="仿宋" w:hAnsi="仿宋" w:eastAsia="仿宋" w:cs="仿宋"/>
          <w:color w:val="000000"/>
          <w:kern w:val="0"/>
          <w:sz w:val="32"/>
          <w:szCs w:val="32"/>
          <w:lang w:eastAsia="zh-CN"/>
        </w:rPr>
        <w:t>、党办</w:t>
      </w:r>
      <w:r>
        <w:rPr>
          <w:rFonts w:hint="eastAsia" w:ascii="仿宋" w:hAnsi="仿宋" w:eastAsia="仿宋" w:cs="仿宋"/>
          <w:color w:val="000000"/>
          <w:kern w:val="0"/>
          <w:sz w:val="32"/>
          <w:szCs w:val="32"/>
        </w:rPr>
        <w:t>。下属事业单位</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个，分别是</w:t>
      </w:r>
      <w:r>
        <w:rPr>
          <w:rFonts w:hint="eastAsia" w:ascii="仿宋" w:hAnsi="仿宋" w:eastAsia="仿宋" w:cs="仿宋"/>
          <w:color w:val="000000"/>
          <w:kern w:val="0"/>
          <w:sz w:val="32"/>
          <w:szCs w:val="32"/>
          <w:lang w:eastAsia="zh-CN"/>
        </w:rPr>
        <w:t>社会保险中心、公共就业人才服务中心和劳动保障监察执法队。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（二）部门（单位）预算资金</w:t>
      </w:r>
    </w:p>
    <w:p>
      <w:pPr>
        <w:ind w:firstLine="645"/>
        <w:rPr>
          <w:rFonts w:hint="eastAsia" w:ascii="仿宋" w:hAnsi="仿宋" w:eastAsia="仿宋" w:cs="仿宋"/>
          <w:sz w:val="32"/>
          <w:szCs w:val="32"/>
          <w:shd w:val="clear" w:color="auto" w:fill="auto"/>
          <w:lang w:val="en-US" w:eastAsia="zh-CN"/>
        </w:rPr>
      </w:pPr>
      <w:r>
        <w:rPr>
          <w:rFonts w:hint="eastAsia" w:ascii="仿宋" w:hAnsi="仿宋" w:eastAsia="仿宋" w:cs="仿宋"/>
          <w:color w:val="000000"/>
          <w:kern w:val="0"/>
          <w:sz w:val="32"/>
          <w:szCs w:val="32"/>
          <w:lang w:val="en-US" w:eastAsia="zh-CN"/>
        </w:rPr>
        <w:t>我单位2021年部门收入</w:t>
      </w:r>
      <w:r>
        <w:rPr>
          <w:rFonts w:hint="eastAsia" w:ascii="仿宋" w:hAnsi="仿宋" w:eastAsia="仿宋" w:cs="Times New Roman"/>
          <w:kern w:val="2"/>
          <w:sz w:val="32"/>
          <w:szCs w:val="32"/>
          <w:lang w:val="en-US" w:eastAsia="zh-CN" w:bidi="ar-SA"/>
        </w:rPr>
        <w:t>2754.29</w:t>
      </w:r>
      <w:r>
        <w:rPr>
          <w:rFonts w:hint="eastAsia" w:ascii="仿宋" w:hAnsi="仿宋" w:eastAsia="仿宋" w:cs="仿宋"/>
          <w:color w:val="000000"/>
          <w:kern w:val="0"/>
          <w:sz w:val="32"/>
          <w:szCs w:val="32"/>
          <w:lang w:val="en-US" w:eastAsia="zh-CN"/>
        </w:rPr>
        <w:t>万元其中：公共预算财政拨款收入</w:t>
      </w:r>
      <w:r>
        <w:rPr>
          <w:rFonts w:hint="eastAsia" w:ascii="仿宋" w:hAnsi="仿宋" w:eastAsia="仿宋" w:cs="Times New Roman"/>
          <w:kern w:val="2"/>
          <w:sz w:val="32"/>
          <w:szCs w:val="32"/>
          <w:lang w:val="en-US" w:eastAsia="zh-CN" w:bidi="ar-SA"/>
        </w:rPr>
        <w:t>2754.29</w:t>
      </w:r>
      <w:r>
        <w:rPr>
          <w:rFonts w:hint="eastAsia" w:ascii="仿宋" w:hAnsi="仿宋" w:eastAsia="仿宋" w:cs="仿宋"/>
          <w:color w:val="000000"/>
          <w:kern w:val="0"/>
          <w:sz w:val="32"/>
          <w:szCs w:val="32"/>
          <w:lang w:val="en-US" w:eastAsia="zh-CN"/>
        </w:rPr>
        <w:t>万元，我单位2021年部门支出</w:t>
      </w:r>
      <w:r>
        <w:rPr>
          <w:rFonts w:hint="eastAsia" w:ascii="仿宋" w:hAnsi="仿宋" w:eastAsia="仿宋" w:cs="Times New Roman"/>
          <w:kern w:val="2"/>
          <w:sz w:val="32"/>
          <w:szCs w:val="32"/>
          <w:lang w:val="en-US" w:eastAsia="zh-CN" w:bidi="ar-SA"/>
        </w:rPr>
        <w:t>2754.29</w:t>
      </w:r>
      <w:r>
        <w:rPr>
          <w:rFonts w:hint="eastAsia" w:ascii="仿宋" w:hAnsi="仿宋" w:eastAsia="仿宋" w:cs="仿宋"/>
          <w:color w:val="000000"/>
          <w:kern w:val="0"/>
          <w:sz w:val="32"/>
          <w:szCs w:val="32"/>
          <w:lang w:val="en-US" w:eastAsia="zh-CN"/>
        </w:rPr>
        <w:t>万元，其中：公共预算财政拨款支出</w:t>
      </w:r>
      <w:r>
        <w:rPr>
          <w:rFonts w:hint="eastAsia" w:ascii="仿宋" w:hAnsi="仿宋" w:eastAsia="仿宋" w:cs="Times New Roman"/>
          <w:kern w:val="2"/>
          <w:sz w:val="32"/>
          <w:szCs w:val="32"/>
          <w:lang w:val="en-US" w:eastAsia="zh-CN" w:bidi="ar-SA"/>
        </w:rPr>
        <w:t>2754.29</w:t>
      </w:r>
      <w:r>
        <w:rPr>
          <w:rFonts w:hint="eastAsia" w:ascii="仿宋" w:hAnsi="仿宋" w:eastAsia="仿宋" w:cs="仿宋"/>
          <w:color w:val="000000"/>
          <w:kern w:val="0"/>
          <w:sz w:val="32"/>
          <w:szCs w:val="32"/>
          <w:lang w:val="en-US" w:eastAsia="zh-CN"/>
        </w:rPr>
        <w:t>万元，基本支出</w:t>
      </w:r>
      <w:r>
        <w:rPr>
          <w:rFonts w:hint="eastAsia" w:ascii="仿宋" w:hAnsi="仿宋" w:eastAsia="仿宋"/>
          <w:sz w:val="32"/>
          <w:szCs w:val="32"/>
          <w:lang w:val="en-US" w:eastAsia="zh-CN"/>
        </w:rPr>
        <w:t>1521.05</w:t>
      </w:r>
      <w:r>
        <w:rPr>
          <w:rFonts w:hint="eastAsia" w:ascii="仿宋" w:hAnsi="仿宋" w:eastAsia="仿宋" w:cs="仿宋"/>
          <w:color w:val="000000"/>
          <w:kern w:val="0"/>
          <w:sz w:val="32"/>
          <w:szCs w:val="32"/>
          <w:lang w:val="en-US" w:eastAsia="zh-CN"/>
        </w:rPr>
        <w:t>万元，项目支出</w:t>
      </w:r>
      <w:r>
        <w:rPr>
          <w:rFonts w:hint="eastAsia" w:ascii="仿宋" w:hAnsi="仿宋" w:eastAsia="仿宋"/>
          <w:sz w:val="32"/>
          <w:szCs w:val="32"/>
          <w:lang w:val="en-US" w:eastAsia="zh-CN"/>
        </w:rPr>
        <w:t>1233.25</w:t>
      </w:r>
      <w:r>
        <w:rPr>
          <w:rFonts w:hint="eastAsia" w:ascii="仿宋" w:hAnsi="仿宋" w:eastAsia="仿宋" w:cs="仿宋"/>
          <w:color w:val="000000"/>
          <w:kern w:val="0"/>
          <w:sz w:val="32"/>
          <w:szCs w:val="32"/>
          <w:lang w:val="en-US" w:eastAsia="zh-CN"/>
        </w:rPr>
        <w:t>万元。</w:t>
      </w:r>
    </w:p>
    <w:p>
      <w:pPr>
        <w:pStyle w:val="2"/>
        <w:numPr>
          <w:ilvl w:val="0"/>
          <w:numId w:val="1"/>
        </w:numPr>
        <w:rPr>
          <w:rFonts w:hint="eastAsia" w:ascii="仿宋" w:hAnsi="仿宋" w:eastAsia="仿宋" w:cs="仿宋"/>
          <w:b w:val="0"/>
          <w:bCs w:val="0"/>
          <w:sz w:val="32"/>
          <w:szCs w:val="32"/>
          <w:lang w:val="en-US" w:eastAsia="zh-CN"/>
        </w:rPr>
      </w:pPr>
      <w:r>
        <w:rPr>
          <w:rFonts w:hint="eastAsia" w:ascii="仿宋" w:hAnsi="仿宋" w:eastAsia="仿宋" w:cs="仿宋"/>
          <w:sz w:val="32"/>
          <w:szCs w:val="32"/>
          <w:shd w:val="clear" w:color="auto" w:fill="auto"/>
          <w:lang w:eastAsia="zh-CN"/>
        </w:rPr>
        <w:t>部门（单位）年末固定资产状况</w:t>
      </w:r>
    </w:p>
    <w:p>
      <w:pPr>
        <w:pStyle w:val="2"/>
        <w:numPr>
          <w:ilvl w:val="0"/>
          <w:numId w:val="0"/>
        </w:numPr>
        <w:ind w:firstLine="640" w:firstLineChars="200"/>
        <w:rPr>
          <w:rFonts w:hint="eastAsia" w:ascii="仿宋" w:hAnsi="仿宋" w:eastAsia="仿宋" w:cs="仿宋"/>
          <w:sz w:val="32"/>
          <w:szCs w:val="32"/>
          <w:shd w:val="clear" w:color="auto" w:fill="auto"/>
          <w:lang w:val="en-US" w:eastAsia="zh-CN"/>
        </w:rPr>
      </w:pP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lang w:val="en-US" w:eastAsia="zh-CN"/>
        </w:rPr>
        <w:t>2021年12月31日，本单位共有车辆7辆，其中：一般公务用车7辆，一般执法执勤用车 0辆，特种专业技术用车 0辆，其他用车 0辆；办公用房</w:t>
      </w:r>
      <w:r>
        <w:rPr>
          <w:rFonts w:hint="eastAsia" w:ascii="仿宋" w:hAnsi="仿宋" w:eastAsia="仿宋" w:cs="仿宋"/>
          <w:b w:val="0"/>
          <w:bCs w:val="0"/>
          <w:sz w:val="32"/>
          <w:szCs w:val="32"/>
          <w:shd w:val="clear" w:color="auto" w:fill="auto"/>
          <w:lang w:val="en-US" w:eastAsia="zh-CN"/>
        </w:rPr>
        <w:t>4055.39</w:t>
      </w:r>
      <w:r>
        <w:rPr>
          <w:rFonts w:hint="eastAsia" w:ascii="仿宋" w:hAnsi="仿宋" w:eastAsia="仿宋" w:cs="仿宋"/>
          <w:b w:val="0"/>
          <w:bCs w:val="0"/>
          <w:sz w:val="32"/>
          <w:szCs w:val="32"/>
          <w:lang w:val="en-US" w:eastAsia="zh-CN"/>
        </w:rPr>
        <w:t xml:space="preserve">平方米，价值 </w:t>
      </w:r>
      <w:r>
        <w:rPr>
          <w:rFonts w:hint="eastAsia" w:ascii="仿宋" w:hAnsi="仿宋" w:eastAsia="仿宋" w:cs="仿宋"/>
          <w:b w:val="0"/>
          <w:bCs w:val="0"/>
          <w:sz w:val="32"/>
          <w:szCs w:val="32"/>
          <w:shd w:val="clear" w:color="auto" w:fill="auto"/>
          <w:lang w:val="en-US" w:eastAsia="zh-CN"/>
        </w:rPr>
        <w:t>1168.62</w:t>
      </w:r>
      <w:r>
        <w:rPr>
          <w:rFonts w:hint="eastAsia" w:ascii="仿宋" w:hAnsi="仿宋" w:eastAsia="仿宋" w:cs="仿宋"/>
          <w:b w:val="0"/>
          <w:bCs w:val="0"/>
          <w:sz w:val="32"/>
          <w:szCs w:val="32"/>
          <w:lang w:val="en-US" w:eastAsia="zh-CN"/>
        </w:rPr>
        <w:t>万元；单价50万元（含）以上的通用设备0 台（套）;单价100万元（含）以上的专用设备0台（套）。</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（四）部门（单位）管理制度</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1、认真贯彻落实绩效管理 　　</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领导首先应该从思想上重视绩效管理,并且加强自身的学习,不断提高对绩效管理工作的理解和运用,用系统的眼光和思维进行体系设计与组织实施,真正把绩效管理落到实处;同时在实施绩效管理的过程中适时推动组织的变革前进,把事业单位推进为具有现代意识观念、行为模式以及能力结构的成长型组织,从而更好地推动组织目标的实现。 　　</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2、建立科学、合理的绩效管理体系 　　</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转变管理理念、引进先进的管理方法,改进现有的绩效管理体系,使其更加科学合理。建立以定量指标为主,定性指标为辅的绩效考核指标,并将原有考核指标据岗位进行细化,其他岗位围绕中心战略结合职位指责和要求,同时兼顾个人发展,指标体系及权重清晰明确,以便于考核的操作和执行。 　　</w:t>
      </w:r>
    </w:p>
    <w:p>
      <w:pPr>
        <w:widowControl/>
        <w:spacing w:line="620" w:lineRule="exact"/>
        <w:ind w:firstLine="640" w:firstLineChars="200"/>
        <w:jc w:val="left"/>
        <w:rPr>
          <w:rFonts w:hint="eastAsia" w:ascii="仿宋_GB2312" w:hAnsi="ˎ̥,Verdana,Arial" w:eastAsia="仿宋_GB2312" w:cs="宋体"/>
          <w:color w:val="000000"/>
          <w:kern w:val="0"/>
          <w:sz w:val="32"/>
          <w:szCs w:val="32"/>
          <w:lang w:val="en-US" w:eastAsia="zh-CN"/>
        </w:rPr>
      </w:pPr>
      <w:r>
        <w:rPr>
          <w:rFonts w:hint="eastAsia" w:ascii="仿宋" w:hAnsi="仿宋" w:eastAsia="仿宋" w:cs="仿宋"/>
          <w:color w:val="000000"/>
          <w:kern w:val="0"/>
          <w:sz w:val="32"/>
          <w:szCs w:val="32"/>
          <w:lang w:val="en-US" w:eastAsia="zh-CN"/>
        </w:rPr>
        <w:t>3、充分发挥完善考核结果的作用 　</w:t>
      </w:r>
      <w:r>
        <w:rPr>
          <w:rFonts w:hint="eastAsia" w:ascii="仿宋_GB2312" w:hAnsi="ˎ̥,Verdana,Arial" w:eastAsia="仿宋_GB2312" w:cs="宋体"/>
          <w:color w:val="000000"/>
          <w:kern w:val="0"/>
          <w:sz w:val="32"/>
          <w:szCs w:val="32"/>
          <w:lang w:val="en-US" w:eastAsia="zh-CN"/>
        </w:rPr>
        <w:t>　</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将绩效考核的结果作为薪酬的调整、员工的选拔与职位的变动、员工培训与发展的依据,对于整年绩效不满意的结果,可以采用解雇、换岗、降级甚至终止合同的措施,使其在人员培训、职位变动、改进绩效计划深入持久地发挥绩效考核的激励功用,最大限度地激发员工的工作积极性,促使绩效管理目标的全面实现。</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二、部门（单位）整体支出绩效状况</w:t>
      </w:r>
    </w:p>
    <w:p>
      <w:pPr>
        <w:widowControl/>
        <w:spacing w:line="620" w:lineRule="exact"/>
        <w:ind w:firstLine="640" w:firstLineChars="200"/>
        <w:jc w:val="left"/>
        <w:rPr>
          <w:rFonts w:hint="eastAsia" w:ascii="仿宋_GB2312" w:hAnsi="ˎ̥,Verdana,Arial" w:eastAsia="仿宋_GB2312" w:cs="宋体"/>
          <w:color w:val="000000"/>
          <w:kern w:val="0"/>
          <w:sz w:val="32"/>
          <w:szCs w:val="32"/>
          <w:lang w:val="en-US" w:eastAsia="zh-CN"/>
        </w:rPr>
      </w:pPr>
      <w:r>
        <w:rPr>
          <w:rFonts w:hint="eastAsia" w:ascii="仿宋_GB2312" w:hAnsi="ˎ̥,Verdana,Arial" w:eastAsia="仿宋_GB2312" w:cs="宋体"/>
          <w:color w:val="000000"/>
          <w:kern w:val="0"/>
          <w:sz w:val="32"/>
          <w:szCs w:val="32"/>
          <w:lang w:val="en-US" w:eastAsia="zh-CN"/>
        </w:rPr>
        <w:t>（一）年度履职效益</w:t>
      </w:r>
    </w:p>
    <w:p>
      <w:pPr>
        <w:keepNext w:val="0"/>
        <w:keepLines w:val="0"/>
        <w:pageBreakBefore w:val="0"/>
        <w:kinsoku/>
        <w:wordWrap/>
        <w:overflowPunct/>
        <w:topLinePunct w:val="0"/>
        <w:bidi w:val="0"/>
        <w:snapToGrid/>
        <w:spacing w:line="64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单位对</w:t>
      </w:r>
      <w:r>
        <w:rPr>
          <w:rFonts w:hint="eastAsia" w:ascii="仿宋_GB2312" w:hAnsi="仿宋_GB2312" w:eastAsia="仿宋_GB2312" w:cs="仿宋_GB2312"/>
          <w:sz w:val="32"/>
          <w:szCs w:val="32"/>
        </w:rPr>
        <w:t>专项资金的预算支出预期目标已经全部实现，专项资金的管理使用符合国家和县里的各项专项资金政策和财务管理制度</w:t>
      </w:r>
      <w:r>
        <w:rPr>
          <w:rFonts w:hint="eastAsia" w:ascii="仿宋_GB2312" w:hAnsi="仿宋_GB2312" w:eastAsia="仿宋_GB2312" w:cs="仿宋_GB2312"/>
          <w:sz w:val="32"/>
          <w:szCs w:val="32"/>
          <w:lang w:eastAsia="zh-CN"/>
        </w:rPr>
        <w:t>。</w:t>
      </w:r>
    </w:p>
    <w:p>
      <w:pPr>
        <w:widowControl/>
        <w:spacing w:line="620" w:lineRule="exact"/>
        <w:ind w:firstLine="640" w:firstLineChars="200"/>
        <w:jc w:val="left"/>
        <w:rPr>
          <w:rFonts w:hint="eastAsia" w:ascii="仿宋_GB2312" w:hAnsi="ˎ̥,Verdana,Arial" w:eastAsia="仿宋_GB2312" w:cs="宋体"/>
          <w:color w:val="000000"/>
          <w:kern w:val="0"/>
          <w:sz w:val="32"/>
          <w:szCs w:val="32"/>
          <w:lang w:val="en-US" w:eastAsia="zh-CN"/>
        </w:rPr>
      </w:pPr>
      <w:r>
        <w:rPr>
          <w:rFonts w:hint="eastAsia" w:ascii="仿宋_GB2312" w:hAnsi="ˎ̥,Verdana,Arial" w:eastAsia="仿宋_GB2312" w:cs="宋体"/>
          <w:color w:val="000000"/>
          <w:kern w:val="0"/>
          <w:sz w:val="32"/>
          <w:szCs w:val="32"/>
          <w:lang w:val="en-US" w:eastAsia="zh-CN"/>
        </w:rPr>
        <w:t>（二）一般性支出</w:t>
      </w:r>
    </w:p>
    <w:p>
      <w:pPr>
        <w:ind w:firstLine="645"/>
        <w:rPr>
          <w:rFonts w:hint="eastAsia" w:eastAsia="仿宋"/>
          <w:lang w:val="en-US" w:eastAsia="zh-CN"/>
        </w:rPr>
      </w:pPr>
      <w:r>
        <w:rPr>
          <w:rFonts w:hint="eastAsia" w:ascii="仿宋" w:hAnsi="仿宋" w:eastAsia="仿宋"/>
          <w:sz w:val="32"/>
          <w:szCs w:val="32"/>
        </w:rPr>
        <w:t>我单位2</w:t>
      </w:r>
      <w:r>
        <w:rPr>
          <w:rFonts w:hint="eastAsia" w:ascii="仿宋" w:hAnsi="仿宋" w:eastAsia="仿宋"/>
          <w:sz w:val="32"/>
          <w:szCs w:val="32"/>
          <w:lang w:val="en-US" w:eastAsia="zh-CN"/>
        </w:rPr>
        <w:t>021</w:t>
      </w:r>
      <w:r>
        <w:rPr>
          <w:rFonts w:hint="eastAsia" w:ascii="仿宋" w:hAnsi="仿宋" w:eastAsia="仿宋"/>
          <w:sz w:val="32"/>
          <w:szCs w:val="32"/>
        </w:rPr>
        <w:t>年部门支出</w:t>
      </w:r>
      <w:r>
        <w:rPr>
          <w:rFonts w:hint="eastAsia" w:ascii="仿宋" w:hAnsi="仿宋" w:eastAsia="仿宋" w:cs="Times New Roman"/>
          <w:kern w:val="2"/>
          <w:sz w:val="32"/>
          <w:szCs w:val="32"/>
          <w:lang w:val="en-US" w:eastAsia="zh-CN" w:bidi="ar-SA"/>
        </w:rPr>
        <w:t>2754.29</w:t>
      </w:r>
      <w:r>
        <w:rPr>
          <w:rFonts w:hint="eastAsia" w:ascii="仿宋" w:hAnsi="仿宋" w:eastAsia="仿宋"/>
          <w:sz w:val="32"/>
          <w:szCs w:val="32"/>
        </w:rPr>
        <w:t>万元，其中：公共预算财政拨款支出</w:t>
      </w:r>
      <w:r>
        <w:rPr>
          <w:rFonts w:hint="eastAsia" w:ascii="仿宋" w:hAnsi="仿宋" w:eastAsia="仿宋" w:cs="Times New Roman"/>
          <w:kern w:val="2"/>
          <w:sz w:val="32"/>
          <w:szCs w:val="32"/>
          <w:lang w:val="en-US" w:eastAsia="zh-CN" w:bidi="ar-SA"/>
        </w:rPr>
        <w:t>2754.29</w:t>
      </w:r>
      <w:r>
        <w:rPr>
          <w:rFonts w:hint="eastAsia" w:ascii="仿宋" w:hAnsi="仿宋" w:eastAsia="仿宋"/>
          <w:sz w:val="32"/>
          <w:szCs w:val="32"/>
        </w:rPr>
        <w:t>万元，基本支出</w:t>
      </w:r>
      <w:r>
        <w:rPr>
          <w:rFonts w:hint="eastAsia" w:ascii="仿宋" w:hAnsi="仿宋" w:eastAsia="仿宋"/>
          <w:sz w:val="32"/>
          <w:szCs w:val="32"/>
          <w:lang w:val="en-US" w:eastAsia="zh-CN"/>
        </w:rPr>
        <w:t>1521.05</w:t>
      </w:r>
      <w:r>
        <w:rPr>
          <w:rFonts w:hint="eastAsia" w:ascii="仿宋" w:hAnsi="仿宋" w:eastAsia="仿宋"/>
          <w:sz w:val="32"/>
          <w:szCs w:val="32"/>
        </w:rPr>
        <w:t>万元，其中：</w:t>
      </w:r>
      <w:r>
        <w:rPr>
          <w:rFonts w:hint="eastAsia" w:ascii="仿宋" w:hAnsi="仿宋" w:eastAsia="仿宋"/>
          <w:sz w:val="32"/>
          <w:szCs w:val="32"/>
          <w:lang w:eastAsia="zh-CN"/>
        </w:rPr>
        <w:t>工资福利支出</w:t>
      </w:r>
      <w:r>
        <w:rPr>
          <w:rFonts w:hint="eastAsia" w:ascii="仿宋" w:hAnsi="仿宋" w:eastAsia="仿宋"/>
          <w:sz w:val="32"/>
          <w:szCs w:val="32"/>
          <w:lang w:val="en-US" w:eastAsia="zh-CN"/>
        </w:rPr>
        <w:t>1291.26</w:t>
      </w:r>
      <w:r>
        <w:rPr>
          <w:rFonts w:hint="eastAsia" w:ascii="仿宋" w:hAnsi="仿宋" w:eastAsia="仿宋"/>
          <w:sz w:val="32"/>
          <w:szCs w:val="32"/>
        </w:rPr>
        <w:t>万元</w:t>
      </w: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166.31</w:t>
      </w:r>
      <w:r>
        <w:rPr>
          <w:rFonts w:hint="eastAsia" w:ascii="仿宋" w:hAnsi="仿宋" w:eastAsia="仿宋"/>
          <w:sz w:val="32"/>
          <w:szCs w:val="32"/>
        </w:rPr>
        <w:t>万元</w:t>
      </w:r>
      <w:r>
        <w:rPr>
          <w:rFonts w:hint="eastAsia" w:ascii="仿宋" w:hAnsi="仿宋" w:eastAsia="仿宋"/>
          <w:sz w:val="32"/>
          <w:szCs w:val="32"/>
          <w:lang w:eastAsia="zh-CN"/>
        </w:rPr>
        <w:t>；对个人和家庭的补助支出万</w:t>
      </w:r>
      <w:r>
        <w:rPr>
          <w:rFonts w:hint="eastAsia" w:ascii="仿宋" w:hAnsi="仿宋" w:eastAsia="仿宋"/>
          <w:sz w:val="32"/>
          <w:szCs w:val="32"/>
          <w:lang w:val="en-US" w:eastAsia="zh-CN"/>
        </w:rPr>
        <w:t>55.61</w:t>
      </w:r>
      <w:r>
        <w:rPr>
          <w:rFonts w:hint="eastAsia" w:ascii="仿宋" w:hAnsi="仿宋" w:eastAsia="仿宋"/>
          <w:sz w:val="32"/>
          <w:szCs w:val="32"/>
          <w:lang w:eastAsia="zh-CN"/>
        </w:rPr>
        <w:t>元。</w:t>
      </w:r>
      <w:r>
        <w:rPr>
          <w:rFonts w:hint="eastAsia" w:ascii="仿宋" w:hAnsi="仿宋" w:eastAsia="仿宋"/>
          <w:sz w:val="32"/>
          <w:szCs w:val="32"/>
        </w:rPr>
        <w:t>项目支出</w:t>
      </w:r>
      <w:r>
        <w:rPr>
          <w:rFonts w:hint="eastAsia" w:ascii="仿宋" w:hAnsi="仿宋" w:eastAsia="仿宋"/>
          <w:sz w:val="32"/>
          <w:szCs w:val="32"/>
          <w:lang w:val="en-US" w:eastAsia="zh-CN"/>
        </w:rPr>
        <w:t>1</w:t>
      </w:r>
      <w:bookmarkStart w:id="0" w:name="_GoBack"/>
      <w:bookmarkEnd w:id="0"/>
      <w:r>
        <w:rPr>
          <w:rFonts w:hint="eastAsia" w:ascii="仿宋" w:hAnsi="仿宋" w:eastAsia="仿宋"/>
          <w:sz w:val="32"/>
          <w:szCs w:val="32"/>
          <w:lang w:val="en-US" w:eastAsia="zh-CN"/>
        </w:rPr>
        <w:t>233.25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ˎ̥,Verdana,Arial" w:eastAsia="仿宋_GB2312" w:cs="宋体"/>
          <w:color w:val="000000"/>
          <w:kern w:val="0"/>
          <w:sz w:val="32"/>
          <w:szCs w:val="32"/>
          <w:lang w:val="en-US" w:eastAsia="zh-CN"/>
        </w:rPr>
        <w:t>其中自收自支项目支出150万元。</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（三）三公经费支出</w:t>
      </w:r>
    </w:p>
    <w:p>
      <w:pPr>
        <w:widowControl/>
        <w:spacing w:line="62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我单位年末公共预算财政拨款开支运行维护费的公务用车保有量为1辆，公务用车运行维护费0万元；本年度公务接待费0元，本年度无因公出国费。</w:t>
      </w:r>
    </w:p>
    <w:p>
      <w:pPr>
        <w:widowControl/>
        <w:shd w:val="clear" w:color="auto" w:fill="FFFFFF"/>
        <w:spacing w:line="60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
          <w:color w:val="000000"/>
          <w:kern w:val="0"/>
          <w:sz w:val="32"/>
          <w:szCs w:val="32"/>
          <w:lang w:val="en-US" w:eastAsia="zh-CN"/>
        </w:rPr>
        <w:t>（四）财政支出所取得的实际绩效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shd w:val="clear" w:color="auto" w:fill="FFFFFF"/>
        </w:rPr>
        <w:t>强化落实，就业形势稳中向好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kern w:val="0"/>
          <w:sz w:val="32"/>
          <w:szCs w:val="32"/>
          <w:shd w:val="clear" w:color="auto" w:fill="FFFFFF"/>
        </w:rPr>
      </w:pPr>
      <w:r>
        <w:rPr>
          <w:rFonts w:hint="eastAsia" w:ascii="仿宋_GB2312" w:hAnsi="仿宋" w:eastAsia="仿宋_GB2312"/>
          <w:sz w:val="32"/>
          <w:szCs w:val="32"/>
          <w:lang w:val="en-US" w:eastAsia="zh-CN"/>
        </w:rPr>
        <w:t>我局把稳就业作为工作的重中之重，实施就业优先战略，积极落实各项就业政策措施，确保全县就业形势总体稳定。截至目前，</w:t>
      </w:r>
      <w:r>
        <w:rPr>
          <w:rFonts w:hint="eastAsia" w:ascii="仿宋_GB2312" w:hAnsi="仿宋_GB2312" w:eastAsia="仿宋_GB2312" w:cs="仿宋_GB2312"/>
          <w:sz w:val="32"/>
          <w:szCs w:val="32"/>
        </w:rPr>
        <w:t>城镇新增就业</w:t>
      </w:r>
      <w:r>
        <w:rPr>
          <w:rFonts w:hint="eastAsia" w:ascii="仿宋_GB2312" w:hAnsi="仿宋_GB2312" w:eastAsia="仿宋_GB2312" w:cs="仿宋_GB2312"/>
          <w:sz w:val="32"/>
          <w:szCs w:val="32"/>
          <w:lang w:val="en-US" w:eastAsia="zh-CN"/>
        </w:rPr>
        <w:t>4917</w:t>
      </w:r>
      <w:r>
        <w:rPr>
          <w:rFonts w:hint="eastAsia" w:ascii="仿宋_GB2312" w:hAnsi="仿宋_GB2312" w:eastAsia="仿宋_GB2312" w:cs="仿宋_GB2312"/>
          <w:sz w:val="32"/>
          <w:szCs w:val="32"/>
        </w:rPr>
        <w:t>人，失业人员再就业</w:t>
      </w:r>
      <w:r>
        <w:rPr>
          <w:rFonts w:hint="eastAsia" w:ascii="仿宋_GB2312" w:hAnsi="仿宋_GB2312" w:eastAsia="仿宋_GB2312" w:cs="仿宋_GB2312"/>
          <w:sz w:val="32"/>
          <w:szCs w:val="32"/>
          <w:lang w:val="en-US" w:eastAsia="zh-CN"/>
        </w:rPr>
        <w:t>1143</w:t>
      </w:r>
      <w:r>
        <w:rPr>
          <w:rFonts w:hint="eastAsia" w:ascii="仿宋_GB2312" w:hAnsi="仿宋_GB2312" w:eastAsia="仿宋_GB2312" w:cs="仿宋_GB2312"/>
          <w:sz w:val="32"/>
          <w:szCs w:val="32"/>
        </w:rPr>
        <w:t>人，就业困难人员再就业35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人，创业带动就业667人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转移农村劳动力</w:t>
      </w:r>
      <w:r>
        <w:rPr>
          <w:rFonts w:hint="eastAsia" w:ascii="仿宋_GB2312" w:hAnsi="仿宋_GB2312" w:eastAsia="仿宋_GB2312" w:cs="仿宋_GB2312"/>
          <w:sz w:val="32"/>
          <w:szCs w:val="32"/>
          <w:lang w:val="en-US" w:eastAsia="zh-CN"/>
        </w:rPr>
        <w:t>5277</w:t>
      </w:r>
      <w:r>
        <w:rPr>
          <w:rFonts w:hint="eastAsia" w:ascii="仿宋_GB2312" w:hAnsi="仿宋_GB2312" w:eastAsia="仿宋_GB2312" w:cs="仿宋_GB2312"/>
          <w:sz w:val="32"/>
          <w:szCs w:val="32"/>
        </w:rPr>
        <w:t>人，各项就业指标均超额完成目标任务。</w:t>
      </w:r>
      <w:r>
        <w:rPr>
          <w:rFonts w:hint="eastAsia" w:ascii="仿宋_GB2312" w:hAnsi="仿宋_GB2312" w:eastAsia="仿宋_GB2312" w:cs="仿宋_GB2312"/>
          <w:b/>
          <w:bCs/>
          <w:sz w:val="32"/>
          <w:szCs w:val="32"/>
        </w:rPr>
        <w:t>一是落实创业政策带动就业。</w:t>
      </w:r>
      <w:r>
        <w:rPr>
          <w:rFonts w:hint="eastAsia" w:ascii="仿宋_GB2312" w:hAnsi="仿宋_GB2312" w:eastAsia="仿宋_GB2312" w:cs="仿宋_GB2312"/>
          <w:sz w:val="32"/>
          <w:szCs w:val="32"/>
        </w:rPr>
        <w:t>为6名创业人员发放创业担保贷款112万元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二是加强技能培训提升就业。</w:t>
      </w:r>
      <w:r>
        <w:rPr>
          <w:rFonts w:hint="eastAsia" w:ascii="仿宋_GB2312" w:hAnsi="仿宋_GB2312" w:eastAsia="仿宋_GB2312" w:cs="仿宋_GB2312"/>
          <w:sz w:val="32"/>
          <w:szCs w:val="32"/>
        </w:rPr>
        <w:t>深入推进“人人持证、技能社会”建设，通过推行职业技能电子培训券、开展职业技能提升培训，持续提升我县劳动力就业能力和就业率。</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共发放电子培训券10660张；免费举办电焊工、砌筑工、“订单式”炼钢工等职业技能培训班101期，培训</w:t>
      </w:r>
      <w:r>
        <w:rPr>
          <w:rFonts w:hint="eastAsia" w:ascii="仿宋_GB2312" w:hAnsi="仿宋_GB2312" w:eastAsia="仿宋_GB2312" w:cs="仿宋_GB2312"/>
          <w:sz w:val="32"/>
          <w:szCs w:val="32"/>
          <w:lang w:eastAsia="zh-CN"/>
        </w:rPr>
        <w:t>学员</w:t>
      </w:r>
      <w:r>
        <w:rPr>
          <w:rFonts w:hint="eastAsia" w:ascii="仿宋_GB2312" w:hAnsi="仿宋_GB2312" w:eastAsia="仿宋_GB2312" w:cs="仿宋_GB2312"/>
          <w:sz w:val="32"/>
          <w:szCs w:val="32"/>
        </w:rPr>
        <w:t>4105人；企业岗前培训</w:t>
      </w:r>
      <w:r>
        <w:rPr>
          <w:rFonts w:hint="eastAsia" w:ascii="仿宋_GB2312" w:hAnsi="仿宋_GB2312" w:eastAsia="仿宋_GB2312" w:cs="仿宋_GB2312"/>
          <w:sz w:val="32"/>
          <w:szCs w:val="32"/>
          <w:lang w:eastAsia="zh-CN"/>
        </w:rPr>
        <w:t>学员</w:t>
      </w:r>
      <w:r>
        <w:rPr>
          <w:rFonts w:hint="eastAsia" w:ascii="仿宋_GB2312" w:hAnsi="仿宋_GB2312" w:eastAsia="仿宋_GB2312" w:cs="仿宋_GB2312"/>
          <w:sz w:val="32"/>
          <w:szCs w:val="32"/>
        </w:rPr>
        <w:t>2315人。</w:t>
      </w:r>
      <w:r>
        <w:rPr>
          <w:rFonts w:hint="eastAsia" w:ascii="仿宋_GB2312" w:hAnsi="仿宋_GB2312" w:eastAsia="仿宋_GB2312" w:cs="仿宋_GB2312"/>
          <w:b/>
          <w:bCs/>
          <w:kern w:val="0"/>
          <w:sz w:val="32"/>
          <w:szCs w:val="32"/>
          <w:shd w:val="clear" w:color="auto" w:fill="FFFFFF"/>
        </w:rPr>
        <w:t>三是搭建就业平台促进就业。</w:t>
      </w:r>
      <w:r>
        <w:rPr>
          <w:rFonts w:hint="eastAsia" w:ascii="仿宋_GB2312" w:hAnsi="仿宋_GB2312" w:eastAsia="仿宋_GB2312" w:cs="仿宋_GB2312"/>
          <w:kern w:val="0"/>
          <w:sz w:val="32"/>
          <w:szCs w:val="32"/>
          <w:shd w:val="clear" w:color="auto" w:fill="FFFFFF"/>
        </w:rPr>
        <w:t>为通才工贸、沃能化工等4家单位推荐未就业高校毕业生180人。确定2家单位为青年就业见习基地，提供见习岗位60个。举办7场人才招聘会，提供就业岗位3000余个，达成就业意向1400余人。</w:t>
      </w:r>
      <w:r>
        <w:rPr>
          <w:rFonts w:hint="eastAsia" w:ascii="仿宋_GB2312" w:hAnsi="仿宋_GB2312" w:eastAsia="仿宋_GB2312" w:cs="仿宋_GB2312"/>
          <w:b/>
          <w:bCs/>
          <w:sz w:val="32"/>
          <w:szCs w:val="32"/>
        </w:rPr>
        <w:t>四是深化县校合作助力就业。</w:t>
      </w:r>
      <w:r>
        <w:rPr>
          <w:rFonts w:hint="eastAsia" w:ascii="仿宋_GB2312" w:hAnsi="仿宋_GB2312" w:eastAsia="仿宋_GB2312" w:cs="仿宋_GB2312"/>
          <w:sz w:val="32"/>
          <w:szCs w:val="32"/>
        </w:rPr>
        <w:t>与太原理工</w:t>
      </w:r>
      <w:r>
        <w:rPr>
          <w:rFonts w:hint="eastAsia" w:ascii="仿宋_GB2312" w:hAnsi="仿宋_GB2312" w:eastAsia="仿宋_GB2312" w:cs="仿宋_GB2312"/>
          <w:sz w:val="32"/>
          <w:szCs w:val="32"/>
          <w:lang w:eastAsia="zh-CN"/>
        </w:rPr>
        <w:t>大学</w:t>
      </w:r>
      <w:r>
        <w:rPr>
          <w:rFonts w:hint="eastAsia" w:ascii="仿宋_GB2312" w:hAnsi="仿宋_GB2312" w:eastAsia="仿宋_GB2312" w:cs="仿宋_GB2312"/>
          <w:sz w:val="32"/>
          <w:szCs w:val="32"/>
        </w:rPr>
        <w:t>、北京科技</w:t>
      </w:r>
      <w:r>
        <w:rPr>
          <w:rFonts w:hint="eastAsia" w:ascii="仿宋_GB2312" w:hAnsi="仿宋_GB2312" w:eastAsia="仿宋_GB2312" w:cs="仿宋_GB2312"/>
          <w:sz w:val="32"/>
          <w:szCs w:val="32"/>
          <w:lang w:eastAsia="zh-CN"/>
        </w:rPr>
        <w:t>大学</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农业大学</w:t>
      </w:r>
      <w:r>
        <w:rPr>
          <w:rFonts w:hint="eastAsia" w:ascii="仿宋_GB2312" w:hAnsi="仿宋_GB2312" w:eastAsia="仿宋_GB2312" w:cs="仿宋_GB2312"/>
          <w:sz w:val="32"/>
          <w:szCs w:val="32"/>
        </w:rPr>
        <w:t>等高校共建了7个大学生就业创业基地和1个技能服务人才培养基地，为我县人才培养持续助力。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shd w:val="clear" w:color="auto" w:fill="FFFFFF"/>
        </w:rPr>
        <w:t>提质扩面，社保水平稳步提高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深入实施全民参保计划，持续扩大社保覆盖面，各项社保待遇及时发放到位。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全县养老保险参保人数达14.5万余人，发放养老金4.9亿元；工伤保险参保人数达43963 人，支付工伤保险待遇金2278万余元；失业保险参保人数达12500人，发放失业金和失业补助金200万余元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向39家企业发放</w:t>
      </w:r>
      <w:r>
        <w:rPr>
          <w:rFonts w:hint="eastAsia" w:ascii="仿宋_GB2312" w:hAnsi="仿宋_GB2312" w:eastAsia="仿宋_GB2312" w:cs="仿宋_GB2312"/>
          <w:sz w:val="32"/>
          <w:szCs w:val="32"/>
          <w:lang w:eastAsia="zh-CN"/>
        </w:rPr>
        <w:t>援企</w:t>
      </w:r>
      <w:r>
        <w:rPr>
          <w:rFonts w:hint="eastAsia" w:ascii="仿宋_GB2312" w:hAnsi="仿宋_GB2312" w:eastAsia="仿宋_GB2312" w:cs="仿宋_GB2312"/>
          <w:sz w:val="32"/>
          <w:szCs w:val="32"/>
        </w:rPr>
        <w:t>稳岗资金86.5万元；社保卡持卡人数达23.9万人，签发电子社保卡18.3万张。</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shd w:val="clear" w:color="auto" w:fill="FFFFFF"/>
        </w:rPr>
        <w:t>规范管理，人事工作推进有序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做好事业单位公开招聘工作。为政府系统缺编事业单位公开招聘了156名高素质人员，为史村镇政府等10家单位公开招聘了10名“三支一扶”人员。另外，2021年度事业单位公开招聘工作正在进行中，目前已做好笔试前准备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扎实做好事业单位岗位设置、岗位聘用和职称评审推荐工作。</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个单位重新核定了岗位设置，为</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个单位进行了岗位续聘备案，评审推荐了各类专业技术人员2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w:t>
      </w:r>
      <w:r>
        <w:rPr>
          <w:rFonts w:hint="eastAsia" w:ascii="仿宋_GB2312" w:hAnsi="仿宋_GB2312" w:eastAsia="仿宋_GB2312" w:cs="仿宋_GB2312"/>
          <w:b/>
          <w:bCs/>
          <w:sz w:val="32"/>
          <w:szCs w:val="32"/>
        </w:rPr>
        <w:t>三是</w:t>
      </w:r>
      <w:r>
        <w:rPr>
          <w:rFonts w:hint="eastAsia" w:ascii="仿宋_GB2312" w:hAnsi="仿宋_GB2312" w:eastAsia="仿宋_GB2312" w:cs="仿宋_GB2312"/>
          <w:kern w:val="0"/>
          <w:sz w:val="32"/>
          <w:szCs w:val="32"/>
        </w:rPr>
        <w:t>落实各项工资福利政策</w:t>
      </w:r>
      <w:r>
        <w:rPr>
          <w:rFonts w:hint="eastAsia" w:ascii="仿宋_GB2312" w:hAnsi="仿宋_GB2312" w:eastAsia="仿宋_GB2312" w:cs="仿宋_GB2312"/>
          <w:sz w:val="32"/>
          <w:szCs w:val="32"/>
        </w:rPr>
        <w:t>。完成了全县</w:t>
      </w:r>
      <w:r>
        <w:rPr>
          <w:rFonts w:hint="eastAsia" w:ascii="仿宋_GB2312" w:hAnsi="仿宋_GB2312" w:eastAsia="仿宋_GB2312" w:cs="仿宋_GB2312"/>
          <w:kern w:val="0"/>
          <w:sz w:val="32"/>
          <w:szCs w:val="32"/>
        </w:rPr>
        <w:t>事业单位人员2021年度奖励性绩效、工资正常晋升审批工作，为</w:t>
      </w:r>
      <w:r>
        <w:rPr>
          <w:rFonts w:hint="eastAsia" w:ascii="仿宋_GB2312" w:hAnsi="仿宋_GB2312" w:eastAsia="仿宋_GB2312" w:cs="仿宋_GB2312"/>
          <w:kern w:val="0"/>
          <w:sz w:val="32"/>
          <w:szCs w:val="32"/>
          <w:lang w:val="en-US" w:eastAsia="zh-CN"/>
        </w:rPr>
        <w:t>161</w:t>
      </w:r>
      <w:r>
        <w:rPr>
          <w:rFonts w:hint="eastAsia" w:ascii="仿宋_GB2312" w:hAnsi="仿宋_GB2312" w:eastAsia="仿宋_GB2312" w:cs="仿宋_GB2312"/>
          <w:kern w:val="0"/>
          <w:sz w:val="32"/>
          <w:szCs w:val="32"/>
        </w:rPr>
        <w:t>名到龄人员办理了退休手续。</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shd w:val="clear" w:color="auto" w:fill="FFFFFF"/>
        </w:rPr>
        <w:t>执法维权，劳动关系和谐稳定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一是全力做好劳动保障监察工作。</w:t>
      </w:r>
      <w:r>
        <w:rPr>
          <w:rFonts w:hint="eastAsia" w:ascii="仿宋_GB2312" w:hAnsi="仿宋_GB2312" w:eastAsia="仿宋_GB2312" w:cs="仿宋_GB2312"/>
          <w:b w:val="0"/>
          <w:bCs w:val="0"/>
          <w:sz w:val="32"/>
          <w:szCs w:val="32"/>
          <w:lang w:eastAsia="zh-CN"/>
        </w:rPr>
        <w:t>全年，</w:t>
      </w:r>
      <w:r>
        <w:rPr>
          <w:rFonts w:hint="eastAsia" w:ascii="仿宋_GB2312" w:hAnsi="仿宋_GB2312" w:eastAsia="仿宋_GB2312" w:cs="仿宋_GB2312"/>
          <w:sz w:val="32"/>
          <w:szCs w:val="32"/>
        </w:rPr>
        <w:t>检查县内各类用人单位</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户次，解决欠薪案件</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起，为3</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名劳动者追讨工资款</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万余元。</w:t>
      </w:r>
      <w:r>
        <w:rPr>
          <w:rFonts w:hint="eastAsia" w:ascii="仿宋_GB2312" w:hAnsi="仿宋_GB2312" w:eastAsia="仿宋_GB2312" w:cs="仿宋_GB2312"/>
          <w:b/>
          <w:bCs/>
          <w:sz w:val="32"/>
          <w:szCs w:val="32"/>
        </w:rPr>
        <w:t>二是积极完善仲裁调解和信访处理机制。</w:t>
      </w:r>
      <w:r>
        <w:rPr>
          <w:rFonts w:hint="eastAsia" w:ascii="仿宋_GB2312" w:hAnsi="仿宋_GB2312" w:eastAsia="仿宋_GB2312" w:cs="仿宋_GB2312"/>
          <w:sz w:val="32"/>
          <w:szCs w:val="32"/>
        </w:rPr>
        <w:t>及时办理信访、仲裁案件，</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处理解决信访案件2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起、劳动争议案件4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起。</w:t>
      </w:r>
    </w:p>
    <w:p>
      <w:pPr>
        <w:numPr>
          <w:ilvl w:val="0"/>
          <w:numId w:val="2"/>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存在的问题及原因</w:t>
      </w:r>
    </w:p>
    <w:p>
      <w:pPr>
        <w:widowControl/>
        <w:numPr>
          <w:ilvl w:val="0"/>
          <w:numId w:val="0"/>
        </w:numPr>
        <w:shd w:val="clear" w:color="auto" w:fill="FFFFFF"/>
        <w:spacing w:line="60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1.人员经费下达不及时，与财政部门沟通不足。</w:t>
      </w:r>
    </w:p>
    <w:p>
      <w:pPr>
        <w:pStyle w:val="2"/>
        <w:numPr>
          <w:ilvl w:val="0"/>
          <w:numId w:val="0"/>
        </w:numPr>
        <w:rPr>
          <w:rFonts w:hint="default" w:ascii="仿宋" w:hAnsi="仿宋" w:eastAsia="仿宋" w:cs="仿宋"/>
          <w:color w:val="000000"/>
          <w:kern w:val="0"/>
          <w:sz w:val="32"/>
          <w:szCs w:val="32"/>
          <w:lang w:val="en-US" w:eastAsia="zh-CN" w:bidi="ar-SA"/>
        </w:rPr>
      </w:pPr>
      <w:r>
        <w:rPr>
          <w:rFonts w:hint="eastAsia"/>
          <w:sz w:val="32"/>
          <w:szCs w:val="40"/>
          <w:lang w:val="en-US" w:eastAsia="zh-CN"/>
        </w:rPr>
        <w:t xml:space="preserve">    </w:t>
      </w:r>
      <w:r>
        <w:rPr>
          <w:rFonts w:hint="eastAsia" w:ascii="仿宋" w:hAnsi="仿宋" w:eastAsia="仿宋" w:cs="仿宋"/>
          <w:color w:val="000000"/>
          <w:kern w:val="0"/>
          <w:sz w:val="32"/>
          <w:szCs w:val="32"/>
          <w:lang w:val="en-US" w:eastAsia="zh-CN" w:bidi="ar-SA"/>
        </w:rPr>
        <w:t>2.预算编制在实际操作过程中有不合理之处，预算编制制定存在问题。</w:t>
      </w:r>
    </w:p>
    <w:p>
      <w:pPr>
        <w:numPr>
          <w:ilvl w:val="0"/>
          <w:numId w:val="0"/>
        </w:numPr>
        <w:ind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四、提高财政资金绩效的措施与建议</w:t>
      </w:r>
    </w:p>
    <w:p>
      <w:pPr>
        <w:widowControl/>
        <w:shd w:val="clear" w:color="auto" w:fill="FFFFFF"/>
        <w:spacing w:line="600" w:lineRule="exact"/>
        <w:ind w:firstLine="640" w:firstLineChars="200"/>
        <w:jc w:val="left"/>
        <w:rPr>
          <w:rFonts w:ascii="仿宋" w:hAnsi="仿宋" w:eastAsia="仿宋" w:cs="仿宋"/>
          <w:color w:val="666666"/>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加强</w:t>
      </w:r>
      <w:r>
        <w:rPr>
          <w:rFonts w:hint="eastAsia" w:ascii="仿宋" w:hAnsi="仿宋" w:eastAsia="仿宋" w:cs="仿宋"/>
          <w:color w:val="000000"/>
          <w:kern w:val="0"/>
          <w:sz w:val="32"/>
          <w:szCs w:val="32"/>
        </w:rPr>
        <w:t>与财政部门的沟通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争取人员经费预算指标及时足额下达，确保人员经费支出控制在预算范围内。</w:t>
      </w:r>
    </w:p>
    <w:p>
      <w:pPr>
        <w:widowControl/>
        <w:shd w:val="clear" w:color="auto" w:fill="FFFFFF"/>
        <w:spacing w:line="600" w:lineRule="exact"/>
        <w:ind w:firstLine="640" w:firstLineChars="200"/>
        <w:jc w:val="left"/>
        <w:rPr>
          <w:rFonts w:ascii="仿宋" w:hAnsi="仿宋" w:eastAsia="仿宋" w:cs="仿宋"/>
          <w:color w:val="666666"/>
          <w:kern w:val="0"/>
          <w:sz w:val="32"/>
          <w:szCs w:val="32"/>
        </w:rPr>
      </w:pPr>
      <w:r>
        <w:rPr>
          <w:rFonts w:hint="eastAsia" w:ascii="仿宋" w:hAnsi="仿宋" w:eastAsia="仿宋" w:cs="仿宋"/>
          <w:color w:val="000000"/>
          <w:kern w:val="0"/>
          <w:sz w:val="32"/>
          <w:szCs w:val="32"/>
        </w:rPr>
        <w:t>2.严格按照预算编制的相关制度和规定，根据上年度决算加强支出分析，提高预算编制的科学性，加强内部配合，充分征求部门意见，根据部门的工作重点和年度工作计划，合理确定各项支出需要，提高预算编制的精准性，从严控制追加预算规模，减少资金结余。 </w:t>
      </w:r>
    </w:p>
    <w:p>
      <w:pPr>
        <w:numPr>
          <w:ilvl w:val="0"/>
          <w:numId w:val="0"/>
        </w:numPr>
        <w:ind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五、附件（佐证依据）</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ind w:leftChars="0" w:firstLine="640"/>
        <w:rPr>
          <w:rFonts w:hint="default" w:ascii="仿宋_GB2312" w:hAnsi="仿宋_GB2312" w:eastAsia="仿宋_GB2312" w:cs="仿宋_GB2312"/>
          <w:sz w:val="32"/>
          <w:szCs w:val="32"/>
          <w:lang w:val="en-US" w:eastAsia="zh-CN"/>
        </w:rPr>
      </w:pPr>
    </w:p>
    <w:p>
      <w:pPr>
        <w:numPr>
          <w:ilvl w:val="0"/>
          <w:numId w:val="0"/>
        </w:numPr>
        <w:ind w:leftChars="0" w:firstLine="640"/>
        <w:rPr>
          <w:rFonts w:hint="default" w:ascii="仿宋_GB2312" w:hAnsi="仿宋_GB2312" w:eastAsia="仿宋_GB2312" w:cs="仿宋_GB2312"/>
          <w:sz w:val="32"/>
          <w:szCs w:val="32"/>
          <w:lang w:val="en-US" w:eastAsia="zh-CN"/>
        </w:rPr>
      </w:pPr>
    </w:p>
    <w:p>
      <w:pPr>
        <w:numPr>
          <w:ilvl w:val="0"/>
          <w:numId w:val="0"/>
        </w:numPr>
        <w:ind w:left="319" w:leftChars="152" w:firstLine="652" w:firstLineChars="2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曲沃县人力资源和社会保障局                                  </w:t>
      </w:r>
    </w:p>
    <w:p>
      <w:pPr>
        <w:numPr>
          <w:ilvl w:val="0"/>
          <w:numId w:val="0"/>
        </w:numPr>
        <w:ind w:left="319" w:leftChars="152" w:firstLine="5123" w:firstLineChars="160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仿宋" w:hAnsi="仿宋" w:eastAsia="仿宋" w:cs="仿宋"/>
          <w:sz w:val="32"/>
          <w:szCs w:val="32"/>
          <w:lang w:val="en-US" w:eastAsia="zh-CN"/>
        </w:rPr>
      </w:pP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Verdana,Arial">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334E"/>
    <w:multiLevelType w:val="singleLevel"/>
    <w:tmpl w:val="BD8F334E"/>
    <w:lvl w:ilvl="0" w:tentative="0">
      <w:start w:val="3"/>
      <w:numFmt w:val="chineseCounting"/>
      <w:suff w:val="nothing"/>
      <w:lvlText w:val="（%1）"/>
      <w:lvlJc w:val="left"/>
      <w:rPr>
        <w:rFonts w:hint="eastAsia"/>
      </w:rPr>
    </w:lvl>
  </w:abstractNum>
  <w:abstractNum w:abstractNumId="1">
    <w:nsid w:val="525F9076"/>
    <w:multiLevelType w:val="singleLevel"/>
    <w:tmpl w:val="525F907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jUzOWNiZjM1ZjM0Mzk2ZDY2MTgyYzVjODNkYTAifQ=="/>
  </w:docVars>
  <w:rsids>
    <w:rsidRoot w:val="50DB2935"/>
    <w:rsid w:val="01517D55"/>
    <w:rsid w:val="0900266C"/>
    <w:rsid w:val="0B4351E5"/>
    <w:rsid w:val="0CC9515B"/>
    <w:rsid w:val="0EEA11C1"/>
    <w:rsid w:val="1443385D"/>
    <w:rsid w:val="165C77D8"/>
    <w:rsid w:val="185C3C81"/>
    <w:rsid w:val="1B86323E"/>
    <w:rsid w:val="1FF81319"/>
    <w:rsid w:val="21392172"/>
    <w:rsid w:val="26726313"/>
    <w:rsid w:val="26BE3BC8"/>
    <w:rsid w:val="2950104C"/>
    <w:rsid w:val="29D85944"/>
    <w:rsid w:val="2A65607B"/>
    <w:rsid w:val="2E3228B3"/>
    <w:rsid w:val="2FB4207D"/>
    <w:rsid w:val="307E5AB9"/>
    <w:rsid w:val="333158D4"/>
    <w:rsid w:val="3342616D"/>
    <w:rsid w:val="35FD30E7"/>
    <w:rsid w:val="392955F4"/>
    <w:rsid w:val="459E5967"/>
    <w:rsid w:val="47884E75"/>
    <w:rsid w:val="47D90EEF"/>
    <w:rsid w:val="49530E14"/>
    <w:rsid w:val="50DB2935"/>
    <w:rsid w:val="542A4D75"/>
    <w:rsid w:val="55851389"/>
    <w:rsid w:val="57C606AD"/>
    <w:rsid w:val="5A8A41C4"/>
    <w:rsid w:val="5C9F089A"/>
    <w:rsid w:val="669109F7"/>
    <w:rsid w:val="68113B3F"/>
    <w:rsid w:val="68957215"/>
    <w:rsid w:val="6D6D73B8"/>
    <w:rsid w:val="6D747D72"/>
    <w:rsid w:val="70DC1BC6"/>
    <w:rsid w:val="78880A45"/>
    <w:rsid w:val="79A308C7"/>
    <w:rsid w:val="7D32747E"/>
    <w:rsid w:val="7EFD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2485</Words>
  <Characters>2697</Characters>
  <Lines>0</Lines>
  <Paragraphs>0</Paragraphs>
  <TotalTime>1</TotalTime>
  <ScaleCrop>false</ScaleCrop>
  <LinksUpToDate>false</LinksUpToDate>
  <CharactersWithSpaces>2787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PC</cp:lastModifiedBy>
  <cp:lastPrinted>2022-04-01T09:33:00Z</cp:lastPrinted>
  <dcterms:modified xsi:type="dcterms:W3CDTF">2023-03-31T08:14:24Z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9191778C485F48399A2D0693B6553D73</vt:lpwstr>
  </property>
</Properties>
</file>