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660" w:lineRule="exact"/>
        <w:jc w:val="center"/>
        <w:textAlignment w:val="auto"/>
        <w:rPr>
          <w:rFonts w:hint="eastAsia" w:ascii="黑体" w:hAnsi="黑体" w:eastAsia="黑体" w:cs="黑体"/>
          <w:color w:val="auto"/>
          <w:kern w:val="0"/>
          <w:sz w:val="40"/>
          <w:szCs w:val="40"/>
          <w:lang w:eastAsia="zh-CN"/>
        </w:rPr>
      </w:pPr>
      <w:r>
        <w:rPr>
          <w:rFonts w:hint="eastAsia" w:ascii="黑体" w:hAnsi="黑体" w:eastAsia="黑体" w:cs="黑体"/>
          <w:color w:val="auto"/>
          <w:kern w:val="0"/>
          <w:sz w:val="40"/>
          <w:szCs w:val="40"/>
          <w:lang w:eastAsia="zh-CN"/>
        </w:rPr>
        <w:t>曲沃县疾病预防控制中心</w:t>
      </w:r>
    </w:p>
    <w:p>
      <w:pPr>
        <w:pStyle w:val="2"/>
        <w:rPr>
          <w:rFonts w:hint="eastAsia" w:ascii="黑体" w:hAnsi="黑体" w:eastAsia="黑体" w:cs="黑体"/>
          <w:sz w:val="40"/>
          <w:szCs w:val="28"/>
          <w:lang w:val="en-US" w:eastAsia="zh-CN"/>
        </w:rPr>
      </w:pPr>
      <w:r>
        <w:rPr>
          <w:rFonts w:hint="eastAsia" w:ascii="黑体" w:hAnsi="黑体" w:eastAsia="黑体" w:cs="黑体"/>
          <w:color w:val="auto"/>
          <w:kern w:val="0"/>
          <w:sz w:val="40"/>
          <w:szCs w:val="40"/>
          <w:lang w:val="en-US" w:eastAsia="zh-CN"/>
        </w:rPr>
        <w:t>2021年度部门决算</w:t>
      </w:r>
    </w:p>
    <w:p>
      <w:pPr>
        <w:keepNext w:val="0"/>
        <w:keepLines w:val="0"/>
        <w:pageBreakBefore w:val="0"/>
        <w:widowControl/>
        <w:kinsoku/>
        <w:wordWrap/>
        <w:overflowPunct/>
        <w:topLinePunct w:val="0"/>
        <w:autoSpaceDE/>
        <w:autoSpaceDN/>
        <w:bidi w:val="0"/>
        <w:adjustRightInd/>
        <w:spacing w:line="660" w:lineRule="exact"/>
        <w:jc w:val="center"/>
        <w:textAlignment w:val="auto"/>
        <w:rPr>
          <w:rFonts w:hint="eastAsia" w:ascii="楷体" w:hAnsi="楷体" w:eastAsia="楷体" w:cs="楷体"/>
          <w:b/>
          <w:bCs/>
          <w:color w:val="auto"/>
          <w:kern w:val="0"/>
          <w:sz w:val="32"/>
          <w:szCs w:val="32"/>
        </w:rPr>
      </w:pPr>
      <w:r>
        <w:rPr>
          <w:rFonts w:hint="eastAsia" w:ascii="楷体" w:hAnsi="楷体" w:eastAsia="楷体" w:cs="楷体"/>
          <w:b/>
          <w:bCs/>
          <w:color w:val="auto"/>
          <w:kern w:val="0"/>
          <w:sz w:val="32"/>
          <w:szCs w:val="32"/>
        </w:rPr>
        <w:t>第一部分 概况</w:t>
      </w:r>
    </w:p>
    <w:p>
      <w:pPr>
        <w:keepNext w:val="0"/>
        <w:keepLines w:val="0"/>
        <w:pageBreakBefore w:val="0"/>
        <w:widowControl/>
        <w:kinsoku/>
        <w:wordWrap/>
        <w:overflowPunct/>
        <w:topLinePunct w:val="0"/>
        <w:autoSpaceDE/>
        <w:autoSpaceDN/>
        <w:bidi w:val="0"/>
        <w:adjustRightInd/>
        <w:spacing w:line="660" w:lineRule="exact"/>
        <w:ind w:firstLine="643" w:firstLineChars="200"/>
        <w:jc w:val="left"/>
        <w:textAlignment w:val="auto"/>
        <w:rPr>
          <w:rFonts w:ascii="仿宋" w:hAnsi="ˎ̥,Verdana,Arial" w:eastAsia="仿宋" w:cs="宋体"/>
          <w:b/>
          <w:bCs/>
          <w:color w:val="auto"/>
          <w:kern w:val="0"/>
          <w:sz w:val="32"/>
          <w:szCs w:val="32"/>
        </w:rPr>
      </w:pPr>
      <w:r>
        <w:rPr>
          <w:rFonts w:hint="eastAsia" w:ascii="仿宋" w:hAnsi="仿宋" w:eastAsia="仿宋" w:cs="宋体"/>
          <w:b/>
          <w:bCs/>
          <w:color w:val="auto"/>
          <w:kern w:val="0"/>
          <w:sz w:val="32"/>
          <w:szCs w:val="32"/>
        </w:rPr>
        <w:t>一、主要职能</w:t>
      </w:r>
      <w:r>
        <w:rPr>
          <w:rFonts w:ascii="仿宋" w:hAnsi="ˎ̥,Verdana,Arial" w:eastAsia="仿宋" w:cs="宋体"/>
          <w:b/>
          <w:bCs/>
          <w:color w:val="auto"/>
          <w:kern w:val="0"/>
          <w:sz w:val="32"/>
          <w:szCs w:val="32"/>
        </w:rPr>
        <w:t>  </w:t>
      </w:r>
    </w:p>
    <w:p>
      <w:pPr>
        <w:keepNext w:val="0"/>
        <w:keepLines w:val="0"/>
        <w:pageBreakBefore w:val="0"/>
        <w:widowControl/>
        <w:kinsoku/>
        <w:wordWrap/>
        <w:overflowPunct/>
        <w:topLinePunct w:val="0"/>
        <w:autoSpaceDE/>
        <w:autoSpaceDN/>
        <w:bidi w:val="0"/>
        <w:adjustRightInd/>
        <w:snapToGrid w:val="0"/>
        <w:spacing w:beforeAutospacing="0" w:afterAutospacing="0" w:line="660" w:lineRule="exact"/>
        <w:ind w:firstLine="640" w:firstLineChars="200"/>
        <w:jc w:val="left"/>
        <w:textAlignment w:val="auto"/>
        <w:rPr>
          <w:rFonts w:hint="eastAsia" w:ascii="仿宋_GB2312" w:hAnsi="仿宋" w:eastAsia="仿宋_GB2312" w:cs="仿宋_GB2312"/>
          <w:bCs/>
          <w:color w:val="auto"/>
          <w:kern w:val="0"/>
          <w:sz w:val="32"/>
          <w:szCs w:val="32"/>
        </w:rPr>
      </w:pPr>
      <w:r>
        <w:rPr>
          <w:rFonts w:hint="eastAsia" w:ascii="仿宋_GB2312" w:hAnsi="仿宋" w:eastAsia="仿宋_GB2312" w:cs="仿宋_GB2312"/>
          <w:bCs/>
          <w:color w:val="auto"/>
          <w:kern w:val="0"/>
          <w:sz w:val="32"/>
          <w:szCs w:val="32"/>
        </w:rPr>
        <w:t>1、计划免疫工作。负责辖区各类疫苗的运输、储存、保管、分发、使用等管理工作。</w:t>
      </w:r>
    </w:p>
    <w:p>
      <w:pPr>
        <w:keepNext w:val="0"/>
        <w:keepLines w:val="0"/>
        <w:pageBreakBefore w:val="0"/>
        <w:widowControl/>
        <w:kinsoku/>
        <w:wordWrap/>
        <w:overflowPunct/>
        <w:topLinePunct w:val="0"/>
        <w:autoSpaceDE/>
        <w:autoSpaceDN/>
        <w:bidi w:val="0"/>
        <w:adjustRightInd/>
        <w:snapToGrid w:val="0"/>
        <w:spacing w:beforeAutospacing="0" w:afterAutospacing="0" w:line="660" w:lineRule="exact"/>
        <w:ind w:firstLine="640" w:firstLineChars="200"/>
        <w:jc w:val="left"/>
        <w:textAlignment w:val="auto"/>
        <w:rPr>
          <w:rFonts w:hint="eastAsia" w:ascii="仿宋_GB2312" w:hAnsi="仿宋" w:eastAsia="仿宋_GB2312" w:cs="仿宋_GB2312"/>
          <w:bCs/>
          <w:color w:val="auto"/>
          <w:kern w:val="0"/>
          <w:sz w:val="32"/>
          <w:szCs w:val="32"/>
        </w:rPr>
      </w:pPr>
      <w:r>
        <w:rPr>
          <w:rFonts w:hint="eastAsia" w:ascii="仿宋_GB2312" w:hAnsi="仿宋" w:eastAsia="仿宋_GB2312" w:cs="仿宋_GB2312"/>
          <w:bCs/>
          <w:color w:val="auto"/>
          <w:kern w:val="0"/>
          <w:sz w:val="32"/>
          <w:szCs w:val="32"/>
        </w:rPr>
        <w:t>2、传染病防治工作。负责辖区内突发公共卫生事件的监测调查与信息收集、报告，负责疫情和公共卫生健康危害因素监测、报告，指导乡、村和有关部门收集、报告疫情。</w:t>
      </w:r>
    </w:p>
    <w:p>
      <w:pPr>
        <w:keepNext w:val="0"/>
        <w:keepLines w:val="0"/>
        <w:pageBreakBefore w:val="0"/>
        <w:widowControl/>
        <w:kinsoku/>
        <w:wordWrap/>
        <w:overflowPunct/>
        <w:topLinePunct w:val="0"/>
        <w:autoSpaceDE/>
        <w:autoSpaceDN/>
        <w:bidi w:val="0"/>
        <w:adjustRightInd/>
        <w:snapToGrid w:val="0"/>
        <w:spacing w:beforeAutospacing="0" w:afterAutospacing="0" w:line="660" w:lineRule="exact"/>
        <w:ind w:firstLine="0" w:firstLineChars="0"/>
        <w:jc w:val="left"/>
        <w:textAlignment w:val="auto"/>
        <w:rPr>
          <w:rFonts w:hint="eastAsia" w:ascii="仿宋_GB2312" w:hAnsi="仿宋" w:eastAsia="仿宋_GB2312" w:cs="仿宋_GB2312"/>
          <w:bCs/>
          <w:color w:val="auto"/>
          <w:kern w:val="0"/>
          <w:sz w:val="32"/>
          <w:szCs w:val="32"/>
        </w:rPr>
      </w:pPr>
      <w:r>
        <w:rPr>
          <w:rFonts w:hint="eastAsia" w:ascii="仿宋_GB2312" w:hAnsi="仿宋" w:eastAsia="仿宋_GB2312" w:cs="仿宋_GB2312"/>
          <w:bCs/>
          <w:color w:val="auto"/>
          <w:kern w:val="0"/>
          <w:sz w:val="32"/>
          <w:szCs w:val="32"/>
        </w:rPr>
        <w:t>　　3、结核病防治工作。负责全县结核病人归口管理，指导县级定点医院对涂阳肺结核病人给予有效、彻底的治疗与全程督导管理。</w:t>
      </w:r>
    </w:p>
    <w:p>
      <w:pPr>
        <w:keepNext w:val="0"/>
        <w:keepLines w:val="0"/>
        <w:pageBreakBefore w:val="0"/>
        <w:widowControl/>
        <w:kinsoku/>
        <w:wordWrap/>
        <w:overflowPunct/>
        <w:topLinePunct w:val="0"/>
        <w:autoSpaceDE/>
        <w:autoSpaceDN/>
        <w:bidi w:val="0"/>
        <w:adjustRightInd/>
        <w:snapToGrid w:val="0"/>
        <w:spacing w:beforeAutospacing="0" w:afterAutospacing="0" w:line="660" w:lineRule="exact"/>
        <w:ind w:firstLine="0" w:firstLineChars="0"/>
        <w:jc w:val="left"/>
        <w:textAlignment w:val="auto"/>
        <w:rPr>
          <w:rFonts w:hint="eastAsia" w:ascii="仿宋_GB2312" w:hAnsi="仿宋" w:eastAsia="仿宋_GB2312" w:cs="仿宋_GB2312"/>
          <w:bCs/>
          <w:color w:val="auto"/>
          <w:kern w:val="0"/>
          <w:sz w:val="32"/>
          <w:szCs w:val="32"/>
        </w:rPr>
      </w:pPr>
      <w:r>
        <w:rPr>
          <w:rFonts w:hint="eastAsia" w:ascii="仿宋_GB2312" w:hAnsi="仿宋" w:eastAsia="仿宋_GB2312" w:cs="仿宋_GB2312"/>
          <w:bCs/>
          <w:color w:val="auto"/>
          <w:kern w:val="0"/>
          <w:sz w:val="32"/>
          <w:szCs w:val="32"/>
        </w:rPr>
        <w:t>　　4、老年人健康管理工作。负责对辖区内65岁以上老年人进行健康咨询指导和干预，并对其生活方式和健康状况进行评估。</w:t>
      </w:r>
    </w:p>
    <w:p>
      <w:pPr>
        <w:keepNext w:val="0"/>
        <w:keepLines w:val="0"/>
        <w:pageBreakBefore w:val="0"/>
        <w:widowControl/>
        <w:kinsoku/>
        <w:wordWrap/>
        <w:overflowPunct/>
        <w:topLinePunct w:val="0"/>
        <w:autoSpaceDE/>
        <w:autoSpaceDN/>
        <w:bidi w:val="0"/>
        <w:adjustRightInd/>
        <w:snapToGrid w:val="0"/>
        <w:spacing w:beforeAutospacing="0" w:afterAutospacing="0" w:line="660" w:lineRule="exact"/>
        <w:ind w:firstLine="0" w:firstLineChars="0"/>
        <w:jc w:val="left"/>
        <w:textAlignment w:val="auto"/>
        <w:rPr>
          <w:rFonts w:hint="eastAsia" w:ascii="仿宋_GB2312" w:hAnsi="仿宋" w:eastAsia="仿宋_GB2312" w:cs="仿宋_GB2312"/>
          <w:bCs/>
          <w:color w:val="auto"/>
          <w:kern w:val="0"/>
          <w:sz w:val="32"/>
          <w:szCs w:val="32"/>
        </w:rPr>
      </w:pPr>
      <w:r>
        <w:rPr>
          <w:rFonts w:hint="eastAsia" w:ascii="仿宋_GB2312" w:hAnsi="仿宋" w:eastAsia="仿宋_GB2312" w:cs="仿宋_GB2312"/>
          <w:bCs/>
          <w:color w:val="auto"/>
          <w:kern w:val="0"/>
          <w:sz w:val="32"/>
          <w:szCs w:val="32"/>
        </w:rPr>
        <w:t>　　5、慢性病管理工作。负责拟订全县慢性非传染性疾病预防控制技术方案，对乡镇卫生院和社区卫生服务中心的慢性病防治工作进行业务技术指导和培训。组织开展高血压、糖尿病等慢性非传染病的流行病学调查和综合防治。</w:t>
      </w:r>
    </w:p>
    <w:p>
      <w:pPr>
        <w:keepNext w:val="0"/>
        <w:keepLines w:val="0"/>
        <w:pageBreakBefore w:val="0"/>
        <w:widowControl/>
        <w:kinsoku/>
        <w:wordWrap/>
        <w:overflowPunct/>
        <w:topLinePunct w:val="0"/>
        <w:autoSpaceDE/>
        <w:autoSpaceDN/>
        <w:bidi w:val="0"/>
        <w:adjustRightInd/>
        <w:snapToGrid w:val="0"/>
        <w:spacing w:beforeAutospacing="0" w:afterAutospacing="0" w:line="660" w:lineRule="exact"/>
        <w:ind w:firstLine="0" w:firstLineChars="0"/>
        <w:jc w:val="left"/>
        <w:textAlignment w:val="auto"/>
        <w:rPr>
          <w:rFonts w:hint="eastAsia" w:ascii="仿宋_GB2312" w:hAnsi="仿宋" w:eastAsia="仿宋_GB2312" w:cs="仿宋_GB2312"/>
          <w:bCs/>
          <w:color w:val="auto"/>
          <w:kern w:val="0"/>
          <w:sz w:val="32"/>
          <w:szCs w:val="32"/>
        </w:rPr>
      </w:pPr>
      <w:r>
        <w:rPr>
          <w:rFonts w:hint="eastAsia" w:ascii="仿宋_GB2312" w:hAnsi="仿宋" w:eastAsia="仿宋_GB2312" w:cs="仿宋_GB2312"/>
          <w:bCs/>
          <w:color w:val="auto"/>
          <w:kern w:val="0"/>
          <w:sz w:val="32"/>
          <w:szCs w:val="32"/>
        </w:rPr>
        <w:t>　　6、艾滋病防治工作。负责对在本单位登记的艾滋病病人进行抗病毒治疗，对艾滋病感染者进行跟踪监测，对广大居民进行宣传教育，普及防艾知识，培养人们健康的生活方式和行为习惯。</w:t>
      </w:r>
    </w:p>
    <w:p>
      <w:pPr>
        <w:keepNext w:val="0"/>
        <w:keepLines w:val="0"/>
        <w:pageBreakBefore w:val="0"/>
        <w:widowControl/>
        <w:kinsoku/>
        <w:wordWrap/>
        <w:overflowPunct/>
        <w:topLinePunct w:val="0"/>
        <w:autoSpaceDE/>
        <w:autoSpaceDN/>
        <w:bidi w:val="0"/>
        <w:adjustRightInd/>
        <w:snapToGrid w:val="0"/>
        <w:spacing w:beforeAutospacing="0" w:afterAutospacing="0" w:line="660" w:lineRule="exact"/>
        <w:ind w:firstLine="0" w:firstLineChars="0"/>
        <w:jc w:val="left"/>
        <w:textAlignment w:val="auto"/>
        <w:rPr>
          <w:rFonts w:hint="eastAsia" w:ascii="仿宋_GB2312" w:hAnsi="仿宋" w:eastAsia="仿宋_GB2312" w:cs="仿宋_GB2312"/>
          <w:bCs/>
          <w:color w:val="auto"/>
          <w:kern w:val="0"/>
          <w:sz w:val="32"/>
          <w:szCs w:val="32"/>
        </w:rPr>
      </w:pPr>
      <w:r>
        <w:rPr>
          <w:rFonts w:hint="eastAsia" w:ascii="仿宋_GB2312" w:hAnsi="仿宋" w:eastAsia="仿宋_GB2312" w:cs="仿宋_GB2312"/>
          <w:bCs/>
          <w:color w:val="auto"/>
          <w:kern w:val="0"/>
          <w:sz w:val="32"/>
          <w:szCs w:val="32"/>
        </w:rPr>
        <w:t>　　7、职工健康体检工作。负责对辖区内从事冶金、铸造、危化、制砖、家具等各生产经营单位职业危害因素监测和涉及粉尘等职业人员进行健康体检，保障企业的正常生产和职工的身体健康。</w:t>
      </w:r>
    </w:p>
    <w:p>
      <w:pPr>
        <w:keepNext w:val="0"/>
        <w:keepLines w:val="0"/>
        <w:pageBreakBefore w:val="0"/>
        <w:widowControl/>
        <w:kinsoku/>
        <w:wordWrap/>
        <w:overflowPunct/>
        <w:topLinePunct w:val="0"/>
        <w:autoSpaceDE/>
        <w:autoSpaceDN/>
        <w:bidi w:val="0"/>
        <w:adjustRightInd/>
        <w:snapToGrid w:val="0"/>
        <w:spacing w:beforeAutospacing="0" w:afterAutospacing="0" w:line="660" w:lineRule="exact"/>
        <w:ind w:firstLine="640" w:firstLineChars="0"/>
        <w:jc w:val="left"/>
        <w:textAlignment w:val="auto"/>
        <w:rPr>
          <w:rFonts w:hint="eastAsia" w:ascii="仿宋_GB2312" w:hAnsi="仿宋" w:eastAsia="仿宋_GB2312" w:cs="仿宋_GB2312"/>
          <w:bCs/>
          <w:color w:val="auto"/>
          <w:kern w:val="0"/>
          <w:sz w:val="32"/>
          <w:szCs w:val="32"/>
        </w:rPr>
      </w:pPr>
      <w:r>
        <w:rPr>
          <w:rFonts w:hint="eastAsia" w:ascii="仿宋_GB2312" w:hAnsi="仿宋" w:eastAsia="仿宋_GB2312" w:cs="仿宋_GB2312"/>
          <w:bCs/>
          <w:color w:val="auto"/>
          <w:kern w:val="0"/>
          <w:sz w:val="32"/>
          <w:szCs w:val="32"/>
        </w:rPr>
        <w:t>8、检测检验工作。负责辖区内生活饮用水的水质监测和居民使用盐中的碘含量监测，完成各级医疗机构及托幼部门的消毒效果检测任务。</w:t>
      </w:r>
    </w:p>
    <w:p>
      <w:pPr>
        <w:keepNext w:val="0"/>
        <w:keepLines w:val="0"/>
        <w:pageBreakBefore w:val="0"/>
        <w:widowControl/>
        <w:kinsoku/>
        <w:wordWrap/>
        <w:overflowPunct/>
        <w:topLinePunct w:val="0"/>
        <w:autoSpaceDE/>
        <w:autoSpaceDN/>
        <w:bidi w:val="0"/>
        <w:adjustRightInd/>
        <w:snapToGrid w:val="0"/>
        <w:spacing w:beforeAutospacing="0" w:afterAutospacing="0" w:line="660" w:lineRule="exact"/>
        <w:ind w:firstLine="640" w:firstLineChars="0"/>
        <w:jc w:val="left"/>
        <w:textAlignment w:val="auto"/>
        <w:rPr>
          <w:rFonts w:hint="eastAsia" w:ascii="仿宋_GB2312" w:hAnsi="仿宋" w:eastAsia="仿宋_GB2312" w:cs="仿宋_GB2312"/>
          <w:bCs/>
          <w:color w:val="auto"/>
          <w:kern w:val="0"/>
          <w:sz w:val="32"/>
          <w:szCs w:val="32"/>
        </w:rPr>
      </w:pPr>
      <w:r>
        <w:rPr>
          <w:rFonts w:hint="eastAsia" w:ascii="仿宋_GB2312" w:hAnsi="仿宋" w:eastAsia="仿宋_GB2312" w:cs="仿宋_GB2312"/>
          <w:bCs/>
          <w:color w:val="auto"/>
          <w:kern w:val="0"/>
          <w:sz w:val="32"/>
          <w:szCs w:val="32"/>
        </w:rPr>
        <w:t>9、从业人员和中小学生体检工作。负责对本县的食品生产、食品经营、公共场所、旅游业、化妆品药品生产经营、生活饮用水供应等单位的从业人员定期健康检查，负责对全县中小学生进行每年一次健康体检，完成中考、高考学生体检任务，有效防止各类传染病的发生和蔓延。。</w:t>
      </w:r>
    </w:p>
    <w:p>
      <w:pPr>
        <w:keepNext w:val="0"/>
        <w:keepLines w:val="0"/>
        <w:pageBreakBefore w:val="0"/>
        <w:widowControl/>
        <w:kinsoku/>
        <w:wordWrap/>
        <w:overflowPunct/>
        <w:topLinePunct w:val="0"/>
        <w:autoSpaceDE/>
        <w:autoSpaceDN/>
        <w:bidi w:val="0"/>
        <w:adjustRightInd/>
        <w:snapToGrid w:val="0"/>
        <w:spacing w:beforeAutospacing="0" w:afterAutospacing="0" w:line="660" w:lineRule="exact"/>
        <w:ind w:firstLine="0" w:firstLineChars="0"/>
        <w:jc w:val="left"/>
        <w:textAlignment w:val="auto"/>
        <w:rPr>
          <w:rFonts w:ascii="仿宋" w:hAnsi="ˎ̥,Verdana,Arial" w:eastAsia="仿宋" w:cs="宋体"/>
          <w:b/>
          <w:bCs/>
          <w:color w:val="auto"/>
          <w:kern w:val="0"/>
          <w:sz w:val="32"/>
          <w:szCs w:val="32"/>
        </w:rPr>
      </w:pPr>
      <w:r>
        <w:rPr>
          <w:rFonts w:hint="eastAsia" w:ascii="仿宋_GB2312" w:hAnsi="仿宋" w:eastAsia="仿宋_GB2312" w:cs="仿宋_GB2312"/>
          <w:bCs/>
          <w:color w:val="auto"/>
          <w:kern w:val="0"/>
          <w:sz w:val="32"/>
          <w:szCs w:val="32"/>
        </w:rPr>
        <w:t>　　10、健康教育工作。协调社会各有关部门，围绕疾病预防与控制工作总体要求，开展全民健康教育，普及卫生防病知识，并指导社区、医院、学校、厂矿、公共场所开展健康教育促进活动。</w:t>
      </w:r>
    </w:p>
    <w:p>
      <w:pPr>
        <w:keepNext w:val="0"/>
        <w:keepLines w:val="0"/>
        <w:pageBreakBefore w:val="0"/>
        <w:kinsoku/>
        <w:wordWrap/>
        <w:overflowPunct/>
        <w:topLinePunct w:val="0"/>
        <w:autoSpaceDE/>
        <w:autoSpaceDN/>
        <w:bidi w:val="0"/>
        <w:adjustRightInd/>
        <w:spacing w:line="660" w:lineRule="exact"/>
        <w:ind w:firstLine="643" w:firstLineChars="200"/>
        <w:textAlignment w:val="auto"/>
        <w:rPr>
          <w:rFonts w:hint="eastAsia" w:ascii="仿宋" w:hAnsi="仿宋" w:eastAsia="仿宋"/>
          <w:b/>
          <w:bCs/>
          <w:color w:val="auto"/>
          <w:sz w:val="32"/>
          <w:szCs w:val="32"/>
        </w:rPr>
      </w:pPr>
      <w:r>
        <w:rPr>
          <w:rFonts w:hint="eastAsia" w:ascii="仿宋" w:hAnsi="仿宋" w:eastAsia="仿宋"/>
          <w:b/>
          <w:bCs/>
          <w:color w:val="auto"/>
          <w:sz w:val="32"/>
          <w:szCs w:val="32"/>
        </w:rPr>
        <w:t>二、部门决算单位构成</w:t>
      </w:r>
    </w:p>
    <w:p>
      <w:pPr>
        <w:keepNext w:val="0"/>
        <w:keepLines w:val="0"/>
        <w:pageBreakBefore w:val="0"/>
        <w:widowControl/>
        <w:kinsoku/>
        <w:wordWrap/>
        <w:overflowPunct/>
        <w:topLinePunct w:val="0"/>
        <w:autoSpaceDE/>
        <w:autoSpaceDN/>
        <w:bidi w:val="0"/>
        <w:adjustRightInd/>
        <w:snapToGrid/>
        <w:spacing w:beforeAutospacing="0" w:afterAutospacing="0" w:line="660" w:lineRule="exact"/>
        <w:ind w:firstLine="435"/>
        <w:jc w:val="left"/>
        <w:textAlignment w:val="auto"/>
        <w:rPr>
          <w:rFonts w:hint="eastAsia" w:ascii="仿宋" w:hAnsi="仿宋" w:eastAsia="仿宋"/>
          <w:b/>
          <w:bCs/>
          <w:color w:val="auto"/>
          <w:sz w:val="32"/>
          <w:szCs w:val="32"/>
          <w:lang w:val="en-US" w:eastAsia="zh-CN"/>
        </w:rPr>
      </w:pPr>
      <w:r>
        <w:rPr>
          <w:rFonts w:hint="eastAsia" w:ascii="仿宋_GB2312" w:hAnsi="仿宋" w:eastAsia="仿宋_GB2312" w:cs="宋体"/>
          <w:bCs/>
          <w:color w:val="auto"/>
          <w:kern w:val="0"/>
          <w:sz w:val="32"/>
          <w:szCs w:val="32"/>
        </w:rPr>
        <w:t>疾病预防控制中心设一室</w:t>
      </w:r>
      <w:r>
        <w:rPr>
          <w:rFonts w:hint="eastAsia" w:ascii="仿宋_GB2312" w:hAnsi="仿宋" w:eastAsia="仿宋_GB2312" w:cs="宋体"/>
          <w:bCs/>
          <w:color w:val="auto"/>
          <w:kern w:val="0"/>
          <w:sz w:val="32"/>
          <w:szCs w:val="32"/>
          <w:lang w:eastAsia="zh-CN"/>
        </w:rPr>
        <w:t>九</w:t>
      </w:r>
      <w:r>
        <w:rPr>
          <w:rFonts w:hint="eastAsia" w:ascii="仿宋_GB2312" w:hAnsi="仿宋" w:eastAsia="仿宋_GB2312" w:cs="宋体"/>
          <w:bCs/>
          <w:color w:val="auto"/>
          <w:kern w:val="0"/>
          <w:sz w:val="32"/>
          <w:szCs w:val="32"/>
        </w:rPr>
        <w:t>科（办公室、</w:t>
      </w:r>
      <w:r>
        <w:rPr>
          <w:rFonts w:hint="eastAsia" w:ascii="仿宋_GB2312" w:hAnsi="仿宋" w:eastAsia="仿宋_GB2312" w:cs="宋体"/>
          <w:bCs/>
          <w:color w:val="auto"/>
          <w:kern w:val="0"/>
          <w:sz w:val="32"/>
          <w:szCs w:val="32"/>
          <w:lang w:eastAsia="zh-CN"/>
        </w:rPr>
        <w:t>生物制品科、</w:t>
      </w:r>
      <w:r>
        <w:rPr>
          <w:rFonts w:hint="eastAsia" w:ascii="仿宋_GB2312" w:hAnsi="仿宋" w:eastAsia="仿宋_GB2312" w:cs="宋体"/>
          <w:bCs/>
          <w:color w:val="auto"/>
          <w:kern w:val="0"/>
          <w:sz w:val="32"/>
          <w:szCs w:val="32"/>
        </w:rPr>
        <w:t>传染病防控</w:t>
      </w:r>
      <w:r>
        <w:rPr>
          <w:rFonts w:hint="eastAsia" w:ascii="仿宋_GB2312" w:hAnsi="仿宋" w:eastAsia="仿宋_GB2312" w:cs="宋体"/>
          <w:bCs/>
          <w:color w:val="auto"/>
          <w:kern w:val="0"/>
          <w:sz w:val="32"/>
          <w:szCs w:val="32"/>
          <w:lang w:eastAsia="zh-CN"/>
        </w:rPr>
        <w:t>科、</w:t>
      </w:r>
      <w:r>
        <w:rPr>
          <w:rFonts w:hint="eastAsia" w:ascii="仿宋_GB2312" w:hAnsi="仿宋" w:eastAsia="仿宋_GB2312" w:cs="宋体"/>
          <w:bCs/>
          <w:color w:val="auto"/>
          <w:kern w:val="0"/>
          <w:sz w:val="32"/>
          <w:szCs w:val="32"/>
        </w:rPr>
        <w:t>慢病科、免疫规划科、性病与艾滋病科、检验科、</w:t>
      </w:r>
      <w:r>
        <w:rPr>
          <w:rFonts w:hint="eastAsia" w:ascii="仿宋_GB2312" w:hAnsi="仿宋" w:eastAsia="仿宋_GB2312" w:cs="宋体"/>
          <w:bCs/>
          <w:color w:val="auto"/>
          <w:kern w:val="0"/>
          <w:sz w:val="32"/>
          <w:szCs w:val="32"/>
          <w:lang w:eastAsia="zh-CN"/>
        </w:rPr>
        <w:t>职卫</w:t>
      </w:r>
      <w:r>
        <w:rPr>
          <w:rFonts w:hint="eastAsia" w:ascii="仿宋_GB2312" w:hAnsi="仿宋" w:eastAsia="仿宋_GB2312" w:cs="宋体"/>
          <w:bCs/>
          <w:color w:val="auto"/>
          <w:kern w:val="0"/>
          <w:sz w:val="32"/>
          <w:szCs w:val="32"/>
        </w:rPr>
        <w:t>科、地病科、公共卫生科）。现有干部职工4</w:t>
      </w:r>
      <w:r>
        <w:rPr>
          <w:rFonts w:hint="eastAsia" w:ascii="仿宋_GB2312" w:hAnsi="仿宋" w:eastAsia="仿宋_GB2312" w:cs="宋体"/>
          <w:bCs/>
          <w:color w:val="auto"/>
          <w:kern w:val="0"/>
          <w:sz w:val="32"/>
          <w:szCs w:val="32"/>
          <w:lang w:val="en-US" w:eastAsia="zh-CN"/>
        </w:rPr>
        <w:t>8</w:t>
      </w:r>
      <w:r>
        <w:rPr>
          <w:rFonts w:hint="eastAsia" w:ascii="仿宋_GB2312" w:hAnsi="仿宋" w:eastAsia="仿宋_GB2312" w:cs="宋体"/>
          <w:bCs/>
          <w:color w:val="auto"/>
          <w:kern w:val="0"/>
          <w:sz w:val="32"/>
          <w:szCs w:val="32"/>
        </w:rPr>
        <w:t>人。</w:t>
      </w:r>
    </w:p>
    <w:p>
      <w:pPr>
        <w:keepNext w:val="0"/>
        <w:keepLines w:val="0"/>
        <w:pageBreakBefore w:val="0"/>
        <w:kinsoku/>
        <w:wordWrap/>
        <w:overflowPunct/>
        <w:topLinePunct w:val="0"/>
        <w:autoSpaceDE/>
        <w:autoSpaceDN/>
        <w:bidi w:val="0"/>
        <w:adjustRightInd/>
        <w:spacing w:line="660" w:lineRule="exact"/>
        <w:ind w:firstLine="643" w:firstLineChars="200"/>
        <w:jc w:val="center"/>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eastAsia="zh-CN"/>
        </w:rPr>
        <w:t>第二部分</w:t>
      </w:r>
      <w:r>
        <w:rPr>
          <w:rFonts w:hint="eastAsia" w:ascii="楷体" w:hAnsi="楷体" w:eastAsia="楷体" w:cs="楷体"/>
          <w:b/>
          <w:bCs/>
          <w:color w:val="auto"/>
          <w:sz w:val="32"/>
          <w:szCs w:val="32"/>
          <w:lang w:val="en-US" w:eastAsia="zh-CN"/>
        </w:rPr>
        <w:t xml:space="preserve">  2021年度部门决算报表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一、收入支出决算</w:t>
      </w:r>
      <w:r>
        <w:rPr>
          <w:rFonts w:hint="eastAsia" w:ascii="仿宋" w:hAnsi="仿宋" w:eastAsia="仿宋" w:cs="仿宋"/>
          <w:sz w:val="32"/>
          <w:szCs w:val="32"/>
          <w:lang w:eastAsia="zh-CN"/>
        </w:rPr>
        <w:t>总</w:t>
      </w:r>
      <w:r>
        <w:rPr>
          <w:rFonts w:hint="eastAsia" w:ascii="仿宋" w:hAnsi="仿宋" w:eastAsia="仿宋" w:cs="仿宋"/>
          <w:sz w:val="32"/>
          <w:szCs w:val="32"/>
        </w:rPr>
        <w:t>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二、收入决算表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三、支出决算表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五、一般公共预算财政拨款支出决算表（一）</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六、一般公共预算财政拨款支出决算表（二）</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、政府性基金预算财政拨款收入支出决算表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八、国有资本经营预算财政拨款支出决算表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附表详见附件二。</w:t>
      </w:r>
    </w:p>
    <w:p>
      <w:pPr>
        <w:keepNext w:val="0"/>
        <w:keepLines w:val="0"/>
        <w:pageBreakBefore w:val="0"/>
        <w:kinsoku/>
        <w:wordWrap/>
        <w:overflowPunct/>
        <w:topLinePunct w:val="0"/>
        <w:autoSpaceDE/>
        <w:autoSpaceDN/>
        <w:bidi w:val="0"/>
        <w:adjustRightInd/>
        <w:spacing w:line="660" w:lineRule="exact"/>
        <w:ind w:firstLine="643" w:firstLineChars="200"/>
        <w:jc w:val="center"/>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rPr>
        <w:t>第三部分 20</w:t>
      </w:r>
      <w:r>
        <w:rPr>
          <w:rFonts w:hint="eastAsia" w:ascii="楷体" w:hAnsi="楷体" w:eastAsia="楷体" w:cs="楷体"/>
          <w:b/>
          <w:bCs/>
          <w:color w:val="auto"/>
          <w:sz w:val="32"/>
          <w:szCs w:val="32"/>
          <w:lang w:val="en-US" w:eastAsia="zh-CN"/>
        </w:rPr>
        <w:t>21</w:t>
      </w:r>
      <w:r>
        <w:rPr>
          <w:rFonts w:hint="eastAsia" w:ascii="楷体" w:hAnsi="楷体" w:eastAsia="楷体" w:cs="楷体"/>
          <w:b/>
          <w:bCs/>
          <w:color w:val="auto"/>
          <w:sz w:val="32"/>
          <w:szCs w:val="32"/>
        </w:rPr>
        <w:t>年度部门决算情况说明</w:t>
      </w:r>
    </w:p>
    <w:p>
      <w:pPr>
        <w:keepNext w:val="0"/>
        <w:keepLines w:val="0"/>
        <w:pageBreakBefore w:val="0"/>
        <w:kinsoku/>
        <w:wordWrap/>
        <w:overflowPunct/>
        <w:topLinePunct w:val="0"/>
        <w:autoSpaceDE/>
        <w:autoSpaceDN/>
        <w:bidi w:val="0"/>
        <w:adjustRightInd/>
        <w:spacing w:line="660" w:lineRule="exact"/>
        <w:ind w:firstLine="645"/>
        <w:textAlignment w:val="auto"/>
        <w:rPr>
          <w:rFonts w:ascii="仿宋" w:hAnsi="仿宋" w:eastAsia="仿宋"/>
          <w:b/>
          <w:bCs/>
          <w:color w:val="auto"/>
          <w:sz w:val="32"/>
          <w:szCs w:val="32"/>
        </w:rPr>
      </w:pPr>
      <w:r>
        <w:rPr>
          <w:rFonts w:hint="eastAsia" w:ascii="仿宋" w:hAnsi="仿宋" w:eastAsia="仿宋"/>
          <w:b/>
          <w:bCs/>
          <w:color w:val="auto"/>
          <w:sz w:val="32"/>
          <w:szCs w:val="32"/>
        </w:rPr>
        <w:t>一、部门收入情况</w:t>
      </w:r>
    </w:p>
    <w:p>
      <w:pPr>
        <w:keepNext w:val="0"/>
        <w:keepLines w:val="0"/>
        <w:pageBreakBefore w:val="0"/>
        <w:kinsoku/>
        <w:wordWrap/>
        <w:overflowPunct/>
        <w:topLinePunct w:val="0"/>
        <w:autoSpaceDE/>
        <w:autoSpaceDN/>
        <w:bidi w:val="0"/>
        <w:adjustRightInd/>
        <w:spacing w:line="660" w:lineRule="exact"/>
        <w:ind w:firstLine="645"/>
        <w:textAlignment w:val="auto"/>
        <w:rPr>
          <w:rFonts w:ascii="仿宋" w:hAnsi="仿宋" w:eastAsia="仿宋"/>
          <w:color w:val="auto"/>
          <w:sz w:val="32"/>
          <w:szCs w:val="32"/>
        </w:rPr>
      </w:pPr>
      <w:r>
        <w:rPr>
          <w:rFonts w:hint="eastAsia" w:ascii="仿宋" w:hAnsi="仿宋" w:eastAsia="仿宋"/>
          <w:color w:val="auto"/>
          <w:sz w:val="32"/>
          <w:szCs w:val="32"/>
        </w:rPr>
        <w:t>我单位20</w:t>
      </w:r>
      <w:r>
        <w:rPr>
          <w:rFonts w:hint="eastAsia" w:ascii="仿宋" w:hAnsi="仿宋" w:eastAsia="仿宋"/>
          <w:color w:val="auto"/>
          <w:sz w:val="32"/>
          <w:szCs w:val="32"/>
          <w:lang w:val="en-US" w:eastAsia="zh-CN"/>
        </w:rPr>
        <w:t>21</w:t>
      </w:r>
      <w:r>
        <w:rPr>
          <w:rFonts w:hint="eastAsia" w:ascii="仿宋" w:hAnsi="仿宋" w:eastAsia="仿宋"/>
          <w:color w:val="auto"/>
          <w:sz w:val="32"/>
          <w:szCs w:val="32"/>
        </w:rPr>
        <w:t>年部门收入</w:t>
      </w:r>
      <w:r>
        <w:rPr>
          <w:rFonts w:hint="eastAsia" w:ascii="仿宋" w:hAnsi="仿宋" w:eastAsia="仿宋"/>
          <w:color w:val="auto"/>
          <w:sz w:val="32"/>
          <w:szCs w:val="32"/>
          <w:lang w:val="en-US" w:eastAsia="zh-CN"/>
        </w:rPr>
        <w:t>635.75</w:t>
      </w:r>
      <w:r>
        <w:rPr>
          <w:rFonts w:hint="eastAsia" w:ascii="仿宋" w:hAnsi="仿宋" w:eastAsia="仿宋"/>
          <w:color w:val="auto"/>
          <w:sz w:val="32"/>
          <w:szCs w:val="32"/>
        </w:rPr>
        <w:t>万元，同比</w:t>
      </w:r>
      <w:r>
        <w:rPr>
          <w:rFonts w:hint="eastAsia" w:ascii="仿宋" w:hAnsi="仿宋" w:eastAsia="仿宋"/>
          <w:color w:val="auto"/>
          <w:sz w:val="32"/>
          <w:szCs w:val="32"/>
          <w:lang w:eastAsia="zh-CN"/>
        </w:rPr>
        <w:t>减少</w:t>
      </w:r>
      <w:r>
        <w:rPr>
          <w:rFonts w:hint="eastAsia" w:ascii="仿宋" w:hAnsi="仿宋" w:eastAsia="仿宋"/>
          <w:color w:val="auto"/>
          <w:sz w:val="32"/>
          <w:szCs w:val="32"/>
          <w:lang w:val="en-US" w:eastAsia="zh-CN"/>
        </w:rPr>
        <w:t>366.93</w:t>
      </w:r>
      <w:r>
        <w:rPr>
          <w:rFonts w:hint="eastAsia" w:ascii="仿宋" w:hAnsi="仿宋" w:eastAsia="仿宋"/>
          <w:color w:val="auto"/>
          <w:sz w:val="32"/>
          <w:szCs w:val="32"/>
        </w:rPr>
        <w:t>万元，同比</w:t>
      </w:r>
      <w:r>
        <w:rPr>
          <w:rFonts w:hint="eastAsia" w:ascii="仿宋" w:hAnsi="仿宋" w:eastAsia="仿宋"/>
          <w:color w:val="auto"/>
          <w:sz w:val="32"/>
          <w:szCs w:val="32"/>
          <w:lang w:eastAsia="zh-CN"/>
        </w:rPr>
        <w:t>下降</w:t>
      </w:r>
      <w:r>
        <w:rPr>
          <w:rFonts w:hint="eastAsia" w:ascii="仿宋" w:hAnsi="仿宋" w:eastAsia="仿宋"/>
          <w:color w:val="auto"/>
          <w:sz w:val="32"/>
          <w:szCs w:val="32"/>
          <w:lang w:val="en-US" w:eastAsia="zh-CN"/>
        </w:rPr>
        <w:t>36.59</w:t>
      </w:r>
      <w:r>
        <w:rPr>
          <w:rFonts w:hint="eastAsia" w:ascii="仿宋" w:hAnsi="仿宋" w:eastAsia="仿宋"/>
          <w:color w:val="auto"/>
          <w:sz w:val="32"/>
          <w:szCs w:val="32"/>
        </w:rPr>
        <w:t>%，其中：公共预算财政拨款收入</w:t>
      </w:r>
      <w:r>
        <w:rPr>
          <w:rFonts w:hint="eastAsia" w:ascii="仿宋" w:hAnsi="仿宋" w:eastAsia="仿宋"/>
          <w:color w:val="auto"/>
          <w:sz w:val="32"/>
          <w:szCs w:val="32"/>
          <w:lang w:val="en-US" w:eastAsia="zh-CN"/>
        </w:rPr>
        <w:t>635.75</w:t>
      </w:r>
      <w:r>
        <w:rPr>
          <w:rFonts w:hint="eastAsia" w:ascii="仿宋" w:hAnsi="仿宋" w:eastAsia="仿宋"/>
          <w:color w:val="auto"/>
          <w:sz w:val="32"/>
          <w:szCs w:val="32"/>
        </w:rPr>
        <w:t>万元，同比上年</w:t>
      </w:r>
      <w:r>
        <w:rPr>
          <w:rFonts w:hint="eastAsia" w:ascii="仿宋" w:hAnsi="仿宋" w:eastAsia="仿宋"/>
          <w:color w:val="auto"/>
          <w:sz w:val="32"/>
          <w:szCs w:val="32"/>
          <w:lang w:eastAsia="zh-CN"/>
        </w:rPr>
        <w:t>减少</w:t>
      </w:r>
      <w:r>
        <w:rPr>
          <w:rFonts w:hint="eastAsia" w:ascii="仿宋" w:hAnsi="仿宋" w:eastAsia="仿宋"/>
          <w:color w:val="auto"/>
          <w:sz w:val="32"/>
          <w:szCs w:val="32"/>
          <w:lang w:val="en-US" w:eastAsia="zh-CN"/>
        </w:rPr>
        <w:t>366.93</w:t>
      </w:r>
      <w:r>
        <w:rPr>
          <w:rFonts w:hint="eastAsia" w:ascii="仿宋" w:hAnsi="仿宋" w:eastAsia="仿宋"/>
          <w:color w:val="auto"/>
          <w:sz w:val="32"/>
          <w:szCs w:val="32"/>
        </w:rPr>
        <w:t>万元，同比</w:t>
      </w:r>
      <w:r>
        <w:rPr>
          <w:rFonts w:hint="eastAsia" w:ascii="仿宋" w:hAnsi="仿宋" w:eastAsia="仿宋"/>
          <w:color w:val="auto"/>
          <w:sz w:val="32"/>
          <w:szCs w:val="32"/>
          <w:lang w:eastAsia="zh-CN"/>
        </w:rPr>
        <w:t>下降</w:t>
      </w:r>
      <w:r>
        <w:rPr>
          <w:rFonts w:hint="eastAsia" w:ascii="仿宋" w:hAnsi="仿宋" w:eastAsia="仿宋"/>
          <w:color w:val="auto"/>
          <w:sz w:val="32"/>
          <w:szCs w:val="32"/>
          <w:lang w:val="en-US" w:eastAsia="zh-CN"/>
        </w:rPr>
        <w:t>36.59</w:t>
      </w:r>
      <w:r>
        <w:rPr>
          <w:rFonts w:hint="eastAsia" w:ascii="仿宋" w:hAnsi="仿宋" w:eastAsia="仿宋"/>
          <w:color w:val="auto"/>
          <w:sz w:val="32"/>
          <w:szCs w:val="32"/>
        </w:rPr>
        <w:t>%</w:t>
      </w:r>
      <w:r>
        <w:rPr>
          <w:rFonts w:hint="eastAsia" w:ascii="仿宋" w:hAnsi="仿宋" w:eastAsia="仿宋"/>
          <w:color w:val="auto"/>
          <w:sz w:val="32"/>
          <w:szCs w:val="32"/>
          <w:lang w:eastAsia="zh-CN"/>
        </w:rPr>
        <w:t>，</w:t>
      </w:r>
      <w:r>
        <w:rPr>
          <w:rFonts w:hint="eastAsia" w:ascii="仿宋" w:hAnsi="仿宋" w:eastAsia="仿宋"/>
          <w:color w:val="auto"/>
          <w:sz w:val="32"/>
          <w:szCs w:val="32"/>
        </w:rPr>
        <w:t>公共预算财政拨款收入比上年</w:t>
      </w:r>
      <w:r>
        <w:rPr>
          <w:rFonts w:hint="eastAsia" w:ascii="仿宋" w:hAnsi="仿宋" w:eastAsia="仿宋"/>
          <w:color w:val="auto"/>
          <w:sz w:val="32"/>
          <w:szCs w:val="32"/>
          <w:lang w:eastAsia="zh-CN"/>
        </w:rPr>
        <w:t>减少</w:t>
      </w:r>
      <w:r>
        <w:rPr>
          <w:rFonts w:hint="eastAsia" w:ascii="仿宋" w:hAnsi="仿宋" w:eastAsia="仿宋"/>
          <w:color w:val="auto"/>
          <w:sz w:val="32"/>
          <w:szCs w:val="32"/>
        </w:rPr>
        <w:t>的原因是</w:t>
      </w:r>
      <w:r>
        <w:rPr>
          <w:rFonts w:hint="eastAsia" w:ascii="仿宋" w:hAnsi="仿宋" w:eastAsia="仿宋"/>
          <w:color w:val="auto"/>
          <w:sz w:val="32"/>
          <w:szCs w:val="32"/>
          <w:lang w:val="en-US" w:eastAsia="zh-CN"/>
        </w:rPr>
        <w:t>2020年新建了PCR实验室</w:t>
      </w:r>
      <w:r>
        <w:rPr>
          <w:rFonts w:hint="eastAsia" w:ascii="仿宋" w:hAnsi="仿宋" w:eastAsia="仿宋"/>
          <w:color w:val="auto"/>
          <w:sz w:val="32"/>
          <w:szCs w:val="32"/>
          <w:lang w:eastAsia="zh-CN"/>
        </w:rPr>
        <w:t>。</w:t>
      </w:r>
    </w:p>
    <w:p>
      <w:pPr>
        <w:keepNext w:val="0"/>
        <w:keepLines w:val="0"/>
        <w:pageBreakBefore w:val="0"/>
        <w:kinsoku/>
        <w:wordWrap/>
        <w:overflowPunct/>
        <w:topLinePunct w:val="0"/>
        <w:autoSpaceDE/>
        <w:autoSpaceDN/>
        <w:bidi w:val="0"/>
        <w:adjustRightInd/>
        <w:spacing w:line="660" w:lineRule="exact"/>
        <w:ind w:firstLine="645"/>
        <w:textAlignment w:val="auto"/>
        <w:rPr>
          <w:rFonts w:ascii="仿宋" w:hAnsi="仿宋" w:eastAsia="仿宋"/>
          <w:b/>
          <w:bCs/>
          <w:color w:val="auto"/>
          <w:sz w:val="32"/>
          <w:szCs w:val="32"/>
        </w:rPr>
      </w:pPr>
      <w:r>
        <w:rPr>
          <w:rFonts w:hint="eastAsia" w:ascii="仿宋" w:hAnsi="仿宋" w:eastAsia="仿宋"/>
          <w:b/>
          <w:bCs/>
          <w:color w:val="auto"/>
          <w:sz w:val="32"/>
          <w:szCs w:val="32"/>
        </w:rPr>
        <w:t>二、部门支出执行情况</w:t>
      </w:r>
    </w:p>
    <w:p>
      <w:pPr>
        <w:keepNext w:val="0"/>
        <w:keepLines w:val="0"/>
        <w:pageBreakBefore w:val="0"/>
        <w:kinsoku/>
        <w:wordWrap/>
        <w:overflowPunct/>
        <w:topLinePunct w:val="0"/>
        <w:autoSpaceDE/>
        <w:autoSpaceDN/>
        <w:bidi w:val="0"/>
        <w:adjustRightInd/>
        <w:spacing w:line="660" w:lineRule="exact"/>
        <w:ind w:firstLine="645"/>
        <w:textAlignment w:val="auto"/>
        <w:rPr>
          <w:rFonts w:hint="default" w:ascii="仿宋" w:hAnsi="仿宋" w:eastAsia="仿宋"/>
          <w:color w:val="auto"/>
          <w:sz w:val="32"/>
          <w:szCs w:val="32"/>
          <w:lang w:val="en-US" w:eastAsia="zh-CN"/>
        </w:rPr>
      </w:pPr>
      <w:r>
        <w:rPr>
          <w:rFonts w:hint="eastAsia" w:ascii="仿宋" w:hAnsi="仿宋" w:eastAsia="仿宋"/>
          <w:color w:val="auto"/>
          <w:sz w:val="32"/>
          <w:szCs w:val="32"/>
        </w:rPr>
        <w:t>我单位20</w:t>
      </w:r>
      <w:r>
        <w:rPr>
          <w:rFonts w:hint="eastAsia" w:ascii="仿宋" w:hAnsi="仿宋" w:eastAsia="仿宋"/>
          <w:color w:val="auto"/>
          <w:sz w:val="32"/>
          <w:szCs w:val="32"/>
          <w:lang w:val="en-US" w:eastAsia="zh-CN"/>
        </w:rPr>
        <w:t>21</w:t>
      </w:r>
      <w:r>
        <w:rPr>
          <w:rFonts w:hint="eastAsia" w:ascii="仿宋" w:hAnsi="仿宋" w:eastAsia="仿宋"/>
          <w:color w:val="auto"/>
          <w:sz w:val="32"/>
          <w:szCs w:val="32"/>
        </w:rPr>
        <w:t>年部门支出</w:t>
      </w:r>
      <w:r>
        <w:rPr>
          <w:rFonts w:hint="eastAsia" w:ascii="仿宋" w:hAnsi="仿宋" w:eastAsia="仿宋"/>
          <w:color w:val="auto"/>
          <w:sz w:val="32"/>
          <w:szCs w:val="32"/>
          <w:lang w:val="en-US" w:eastAsia="zh-CN"/>
        </w:rPr>
        <w:t>757.22</w:t>
      </w:r>
      <w:r>
        <w:rPr>
          <w:rFonts w:hint="eastAsia" w:ascii="仿宋" w:hAnsi="仿宋" w:eastAsia="仿宋"/>
          <w:color w:val="auto"/>
          <w:sz w:val="32"/>
          <w:szCs w:val="32"/>
        </w:rPr>
        <w:t>万元，同比</w:t>
      </w:r>
      <w:r>
        <w:rPr>
          <w:rFonts w:hint="eastAsia" w:ascii="仿宋" w:hAnsi="仿宋" w:eastAsia="仿宋"/>
          <w:color w:val="auto"/>
          <w:sz w:val="32"/>
          <w:szCs w:val="32"/>
          <w:lang w:eastAsia="zh-CN"/>
        </w:rPr>
        <w:t>减少</w:t>
      </w:r>
      <w:r>
        <w:rPr>
          <w:rFonts w:hint="eastAsia" w:ascii="仿宋" w:hAnsi="仿宋" w:eastAsia="仿宋"/>
          <w:color w:val="auto"/>
          <w:sz w:val="32"/>
          <w:szCs w:val="32"/>
          <w:lang w:val="en-US" w:eastAsia="zh-CN"/>
        </w:rPr>
        <w:t>355.37</w:t>
      </w:r>
      <w:r>
        <w:rPr>
          <w:rFonts w:hint="eastAsia" w:ascii="仿宋" w:hAnsi="仿宋" w:eastAsia="仿宋"/>
          <w:color w:val="auto"/>
          <w:sz w:val="32"/>
          <w:szCs w:val="32"/>
        </w:rPr>
        <w:t>万元，同比</w:t>
      </w:r>
      <w:r>
        <w:rPr>
          <w:rFonts w:hint="eastAsia" w:ascii="仿宋" w:hAnsi="仿宋" w:eastAsia="仿宋"/>
          <w:color w:val="auto"/>
          <w:sz w:val="32"/>
          <w:szCs w:val="32"/>
          <w:lang w:eastAsia="zh-CN"/>
        </w:rPr>
        <w:t>下降</w:t>
      </w:r>
      <w:r>
        <w:rPr>
          <w:rFonts w:hint="eastAsia" w:ascii="仿宋" w:hAnsi="仿宋" w:eastAsia="仿宋"/>
          <w:color w:val="auto"/>
          <w:sz w:val="32"/>
          <w:szCs w:val="32"/>
          <w:lang w:val="en-US" w:eastAsia="zh-CN"/>
        </w:rPr>
        <w:t>31.94</w:t>
      </w:r>
      <w:r>
        <w:rPr>
          <w:rFonts w:hint="eastAsia" w:ascii="仿宋" w:hAnsi="仿宋" w:eastAsia="仿宋"/>
          <w:color w:val="auto"/>
          <w:sz w:val="32"/>
          <w:szCs w:val="32"/>
        </w:rPr>
        <w:t>%，其中：公共预算财政拨款支出</w:t>
      </w:r>
      <w:r>
        <w:rPr>
          <w:rFonts w:hint="eastAsia" w:ascii="仿宋" w:hAnsi="仿宋" w:eastAsia="仿宋"/>
          <w:color w:val="auto"/>
          <w:sz w:val="32"/>
          <w:szCs w:val="32"/>
          <w:lang w:val="en-US" w:eastAsia="zh-CN"/>
        </w:rPr>
        <w:t>757.22</w:t>
      </w:r>
      <w:r>
        <w:rPr>
          <w:rFonts w:hint="eastAsia" w:ascii="仿宋" w:hAnsi="仿宋" w:eastAsia="仿宋"/>
          <w:color w:val="auto"/>
          <w:sz w:val="32"/>
          <w:szCs w:val="32"/>
        </w:rPr>
        <w:t>万元，同比上年</w:t>
      </w:r>
      <w:r>
        <w:rPr>
          <w:rFonts w:hint="eastAsia" w:ascii="仿宋" w:hAnsi="仿宋" w:eastAsia="仿宋"/>
          <w:color w:val="auto"/>
          <w:sz w:val="32"/>
          <w:szCs w:val="32"/>
          <w:lang w:eastAsia="zh-CN"/>
        </w:rPr>
        <w:t>减少</w:t>
      </w:r>
      <w:r>
        <w:rPr>
          <w:rFonts w:hint="eastAsia" w:ascii="仿宋" w:hAnsi="仿宋" w:eastAsia="仿宋"/>
          <w:color w:val="auto"/>
          <w:sz w:val="32"/>
          <w:szCs w:val="32"/>
          <w:lang w:val="en-US" w:eastAsia="zh-CN"/>
        </w:rPr>
        <w:t>355.37</w:t>
      </w:r>
      <w:r>
        <w:rPr>
          <w:rFonts w:hint="eastAsia" w:ascii="仿宋" w:hAnsi="仿宋" w:eastAsia="仿宋"/>
          <w:color w:val="auto"/>
          <w:sz w:val="32"/>
          <w:szCs w:val="32"/>
        </w:rPr>
        <w:t>万元，同比</w:t>
      </w:r>
      <w:r>
        <w:rPr>
          <w:rFonts w:hint="eastAsia" w:ascii="仿宋" w:hAnsi="仿宋" w:eastAsia="仿宋"/>
          <w:color w:val="auto"/>
          <w:sz w:val="32"/>
          <w:szCs w:val="32"/>
          <w:lang w:eastAsia="zh-CN"/>
        </w:rPr>
        <w:t>下降</w:t>
      </w:r>
      <w:r>
        <w:rPr>
          <w:rFonts w:hint="eastAsia" w:ascii="仿宋" w:hAnsi="仿宋" w:eastAsia="仿宋"/>
          <w:color w:val="auto"/>
          <w:sz w:val="32"/>
          <w:szCs w:val="32"/>
          <w:lang w:val="en-US" w:eastAsia="zh-CN"/>
        </w:rPr>
        <w:t>31.94</w:t>
      </w:r>
      <w:r>
        <w:rPr>
          <w:rFonts w:hint="eastAsia" w:ascii="仿宋" w:hAnsi="仿宋" w:eastAsia="仿宋"/>
          <w:color w:val="auto"/>
          <w:sz w:val="32"/>
          <w:szCs w:val="32"/>
        </w:rPr>
        <w:t>%</w:t>
      </w:r>
      <w:r>
        <w:rPr>
          <w:rFonts w:hint="eastAsia" w:ascii="仿宋" w:hAnsi="仿宋" w:eastAsia="仿宋"/>
          <w:color w:val="auto"/>
          <w:sz w:val="32"/>
          <w:szCs w:val="32"/>
          <w:lang w:val="en-US" w:eastAsia="zh-CN"/>
        </w:rPr>
        <w:t>。</w:t>
      </w:r>
    </w:p>
    <w:p>
      <w:pPr>
        <w:keepNext w:val="0"/>
        <w:keepLines w:val="0"/>
        <w:pageBreakBefore w:val="0"/>
        <w:kinsoku/>
        <w:wordWrap/>
        <w:overflowPunct/>
        <w:topLinePunct w:val="0"/>
        <w:autoSpaceDE/>
        <w:autoSpaceDN/>
        <w:bidi w:val="0"/>
        <w:adjustRightInd/>
        <w:spacing w:line="660" w:lineRule="exact"/>
        <w:ind w:firstLine="645"/>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rPr>
        <w:t>基本支出</w:t>
      </w:r>
      <w:r>
        <w:rPr>
          <w:rFonts w:hint="eastAsia" w:ascii="仿宋" w:hAnsi="仿宋" w:eastAsia="仿宋"/>
          <w:color w:val="auto"/>
          <w:sz w:val="32"/>
          <w:szCs w:val="32"/>
          <w:lang w:val="en-US" w:eastAsia="zh-CN"/>
        </w:rPr>
        <w:t>460.51</w:t>
      </w:r>
      <w:r>
        <w:rPr>
          <w:rFonts w:hint="eastAsia" w:ascii="仿宋" w:hAnsi="仿宋" w:eastAsia="仿宋"/>
          <w:color w:val="auto"/>
          <w:sz w:val="32"/>
          <w:szCs w:val="32"/>
        </w:rPr>
        <w:t>万元，同比</w:t>
      </w:r>
      <w:r>
        <w:rPr>
          <w:rFonts w:hint="eastAsia" w:ascii="仿宋" w:hAnsi="仿宋" w:eastAsia="仿宋"/>
          <w:color w:val="auto"/>
          <w:sz w:val="32"/>
          <w:szCs w:val="32"/>
          <w:lang w:eastAsia="zh-CN"/>
        </w:rPr>
        <w:t>增加</w:t>
      </w:r>
      <w:r>
        <w:rPr>
          <w:rFonts w:hint="eastAsia" w:ascii="仿宋" w:hAnsi="仿宋" w:eastAsia="仿宋"/>
          <w:color w:val="auto"/>
          <w:sz w:val="32"/>
          <w:szCs w:val="32"/>
          <w:lang w:val="en-US" w:eastAsia="zh-CN"/>
        </w:rPr>
        <w:t>18.51</w:t>
      </w:r>
      <w:r>
        <w:rPr>
          <w:rFonts w:hint="eastAsia" w:ascii="仿宋" w:hAnsi="仿宋" w:eastAsia="仿宋"/>
          <w:color w:val="auto"/>
          <w:sz w:val="32"/>
          <w:szCs w:val="32"/>
        </w:rPr>
        <w:t>万元，同比</w:t>
      </w:r>
      <w:r>
        <w:rPr>
          <w:rFonts w:hint="eastAsia" w:ascii="仿宋" w:hAnsi="仿宋" w:eastAsia="仿宋"/>
          <w:color w:val="auto"/>
          <w:sz w:val="32"/>
          <w:szCs w:val="32"/>
          <w:lang w:eastAsia="zh-CN"/>
        </w:rPr>
        <w:t>增加</w:t>
      </w:r>
      <w:r>
        <w:rPr>
          <w:rFonts w:hint="eastAsia" w:ascii="仿宋" w:hAnsi="仿宋" w:eastAsia="仿宋"/>
          <w:color w:val="auto"/>
          <w:sz w:val="32"/>
          <w:szCs w:val="32"/>
          <w:lang w:val="en-US" w:eastAsia="zh-CN"/>
        </w:rPr>
        <w:t>4.19</w:t>
      </w:r>
      <w:r>
        <w:rPr>
          <w:rFonts w:hint="eastAsia" w:ascii="仿宋" w:hAnsi="仿宋" w:eastAsia="仿宋"/>
          <w:color w:val="auto"/>
          <w:sz w:val="32"/>
          <w:szCs w:val="32"/>
        </w:rPr>
        <w:t>%，其中：工资福利支出</w:t>
      </w:r>
      <w:r>
        <w:rPr>
          <w:rFonts w:hint="eastAsia" w:ascii="仿宋" w:hAnsi="仿宋" w:eastAsia="仿宋"/>
          <w:color w:val="auto"/>
          <w:sz w:val="32"/>
          <w:szCs w:val="32"/>
          <w:lang w:val="en-US" w:eastAsia="zh-CN"/>
        </w:rPr>
        <w:t>405.19</w:t>
      </w:r>
      <w:r>
        <w:rPr>
          <w:rFonts w:hint="eastAsia" w:ascii="仿宋" w:hAnsi="仿宋" w:eastAsia="仿宋"/>
          <w:color w:val="auto"/>
          <w:sz w:val="32"/>
          <w:szCs w:val="32"/>
        </w:rPr>
        <w:t>万元，同比</w:t>
      </w:r>
      <w:r>
        <w:rPr>
          <w:rFonts w:hint="eastAsia" w:ascii="仿宋" w:hAnsi="仿宋" w:eastAsia="仿宋"/>
          <w:color w:val="auto"/>
          <w:sz w:val="32"/>
          <w:szCs w:val="32"/>
          <w:lang w:eastAsia="zh-CN"/>
        </w:rPr>
        <w:t>减少</w:t>
      </w:r>
      <w:r>
        <w:rPr>
          <w:rFonts w:hint="eastAsia" w:ascii="仿宋" w:hAnsi="仿宋" w:eastAsia="仿宋"/>
          <w:color w:val="auto"/>
          <w:sz w:val="32"/>
          <w:szCs w:val="32"/>
          <w:lang w:val="en-US" w:eastAsia="zh-CN"/>
        </w:rPr>
        <w:t>10.47</w:t>
      </w:r>
      <w:r>
        <w:rPr>
          <w:rFonts w:hint="eastAsia" w:ascii="仿宋" w:hAnsi="仿宋" w:eastAsia="仿宋"/>
          <w:color w:val="auto"/>
          <w:sz w:val="32"/>
          <w:szCs w:val="32"/>
        </w:rPr>
        <w:t>万元，同比</w:t>
      </w:r>
      <w:r>
        <w:rPr>
          <w:rFonts w:hint="eastAsia" w:ascii="仿宋" w:hAnsi="仿宋" w:eastAsia="仿宋"/>
          <w:color w:val="auto"/>
          <w:sz w:val="32"/>
          <w:szCs w:val="32"/>
          <w:lang w:eastAsia="zh-CN"/>
        </w:rPr>
        <w:t>下降</w:t>
      </w:r>
      <w:r>
        <w:rPr>
          <w:rFonts w:hint="eastAsia" w:ascii="仿宋" w:hAnsi="仿宋" w:eastAsia="仿宋"/>
          <w:color w:val="auto"/>
          <w:sz w:val="32"/>
          <w:szCs w:val="32"/>
          <w:lang w:val="en-US" w:eastAsia="zh-CN"/>
        </w:rPr>
        <w:t>2.52</w:t>
      </w:r>
      <w:r>
        <w:rPr>
          <w:rFonts w:hint="eastAsia" w:ascii="仿宋" w:hAnsi="仿宋" w:eastAsia="仿宋"/>
          <w:color w:val="auto"/>
          <w:sz w:val="32"/>
          <w:szCs w:val="32"/>
        </w:rPr>
        <w:t>%；商品和服务支出</w:t>
      </w:r>
      <w:r>
        <w:rPr>
          <w:rFonts w:hint="eastAsia" w:ascii="仿宋" w:hAnsi="仿宋" w:eastAsia="仿宋"/>
          <w:color w:val="auto"/>
          <w:sz w:val="32"/>
          <w:szCs w:val="32"/>
          <w:lang w:val="en-US" w:eastAsia="zh-CN"/>
        </w:rPr>
        <w:t>32.84</w:t>
      </w:r>
      <w:r>
        <w:rPr>
          <w:rFonts w:hint="eastAsia" w:ascii="仿宋" w:hAnsi="仿宋" w:eastAsia="仿宋"/>
          <w:color w:val="auto"/>
          <w:sz w:val="32"/>
          <w:szCs w:val="32"/>
        </w:rPr>
        <w:t>万元，同比</w:t>
      </w:r>
      <w:r>
        <w:rPr>
          <w:rFonts w:hint="eastAsia" w:ascii="仿宋" w:hAnsi="仿宋" w:eastAsia="仿宋"/>
          <w:color w:val="auto"/>
          <w:sz w:val="32"/>
          <w:szCs w:val="32"/>
          <w:lang w:eastAsia="zh-CN"/>
        </w:rPr>
        <w:t>增加</w:t>
      </w:r>
      <w:r>
        <w:rPr>
          <w:rFonts w:hint="eastAsia" w:ascii="仿宋" w:hAnsi="仿宋" w:eastAsia="仿宋"/>
          <w:color w:val="auto"/>
          <w:sz w:val="32"/>
          <w:szCs w:val="32"/>
          <w:lang w:val="en-US" w:eastAsia="zh-CN"/>
        </w:rPr>
        <w:t>6.5</w:t>
      </w:r>
      <w:r>
        <w:rPr>
          <w:rFonts w:hint="eastAsia" w:ascii="仿宋" w:hAnsi="仿宋" w:eastAsia="仿宋"/>
          <w:color w:val="auto"/>
          <w:sz w:val="32"/>
          <w:szCs w:val="32"/>
        </w:rPr>
        <w:t>万元，同比</w:t>
      </w:r>
      <w:r>
        <w:rPr>
          <w:rFonts w:hint="eastAsia" w:ascii="仿宋" w:hAnsi="仿宋" w:eastAsia="仿宋"/>
          <w:color w:val="auto"/>
          <w:sz w:val="32"/>
          <w:szCs w:val="32"/>
          <w:lang w:eastAsia="zh-CN"/>
        </w:rPr>
        <w:t>增加</w:t>
      </w:r>
      <w:r>
        <w:rPr>
          <w:rFonts w:hint="eastAsia" w:ascii="仿宋" w:hAnsi="仿宋" w:eastAsia="仿宋"/>
          <w:color w:val="auto"/>
          <w:sz w:val="32"/>
          <w:szCs w:val="32"/>
          <w:lang w:val="en-US" w:eastAsia="zh-CN"/>
        </w:rPr>
        <w:t>24.68</w:t>
      </w:r>
      <w:r>
        <w:rPr>
          <w:rFonts w:hint="eastAsia" w:ascii="仿宋" w:hAnsi="仿宋" w:eastAsia="仿宋"/>
          <w:color w:val="auto"/>
          <w:sz w:val="32"/>
          <w:szCs w:val="32"/>
        </w:rPr>
        <w:t>%</w:t>
      </w:r>
      <w:r>
        <w:rPr>
          <w:rFonts w:hint="eastAsia" w:ascii="仿宋" w:hAnsi="仿宋" w:eastAsia="仿宋"/>
          <w:color w:val="auto"/>
          <w:sz w:val="32"/>
          <w:szCs w:val="32"/>
          <w:lang w:eastAsia="zh-CN"/>
        </w:rPr>
        <w:t>；</w:t>
      </w:r>
      <w:r>
        <w:rPr>
          <w:rFonts w:hint="eastAsia" w:ascii="仿宋" w:hAnsi="仿宋" w:eastAsia="仿宋"/>
          <w:color w:val="auto"/>
          <w:sz w:val="32"/>
          <w:szCs w:val="32"/>
        </w:rPr>
        <w:t>对个人和家庭的补助支出</w:t>
      </w:r>
      <w:r>
        <w:rPr>
          <w:rFonts w:hint="eastAsia" w:ascii="仿宋" w:hAnsi="仿宋" w:eastAsia="仿宋"/>
          <w:color w:val="auto"/>
          <w:sz w:val="32"/>
          <w:szCs w:val="32"/>
          <w:lang w:val="en-US" w:eastAsia="zh-CN"/>
        </w:rPr>
        <w:t>22.49</w:t>
      </w:r>
      <w:r>
        <w:rPr>
          <w:rFonts w:hint="eastAsia" w:ascii="仿宋" w:hAnsi="仿宋" w:eastAsia="仿宋"/>
          <w:color w:val="auto"/>
          <w:sz w:val="32"/>
          <w:szCs w:val="32"/>
        </w:rPr>
        <w:t>万元，同比上年</w:t>
      </w:r>
      <w:r>
        <w:rPr>
          <w:rFonts w:hint="eastAsia" w:ascii="仿宋" w:hAnsi="仿宋" w:eastAsia="仿宋"/>
          <w:color w:val="auto"/>
          <w:sz w:val="32"/>
          <w:szCs w:val="32"/>
          <w:lang w:eastAsia="zh-CN"/>
        </w:rPr>
        <w:t>增加</w:t>
      </w:r>
      <w:r>
        <w:rPr>
          <w:rFonts w:hint="eastAsia" w:ascii="仿宋" w:hAnsi="仿宋" w:eastAsia="仿宋"/>
          <w:color w:val="auto"/>
          <w:sz w:val="32"/>
          <w:szCs w:val="32"/>
          <w:lang w:val="en-US" w:eastAsia="zh-CN"/>
        </w:rPr>
        <w:t>22.49</w:t>
      </w:r>
      <w:r>
        <w:rPr>
          <w:rFonts w:hint="eastAsia" w:ascii="仿宋" w:hAnsi="仿宋" w:eastAsia="仿宋"/>
          <w:color w:val="auto"/>
          <w:sz w:val="32"/>
          <w:szCs w:val="32"/>
        </w:rPr>
        <w:t>万元；资本性支出</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万元，同比上年</w:t>
      </w:r>
      <w:r>
        <w:rPr>
          <w:rFonts w:hint="eastAsia" w:ascii="仿宋" w:hAnsi="仿宋" w:eastAsia="仿宋"/>
          <w:color w:val="auto"/>
          <w:sz w:val="32"/>
          <w:szCs w:val="32"/>
          <w:lang w:eastAsia="zh-CN"/>
        </w:rPr>
        <w:t>减少</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万元，同比</w:t>
      </w:r>
      <w:r>
        <w:rPr>
          <w:rFonts w:hint="eastAsia" w:ascii="仿宋" w:hAnsi="仿宋" w:eastAsia="仿宋"/>
          <w:color w:val="auto"/>
          <w:sz w:val="32"/>
          <w:szCs w:val="32"/>
          <w:lang w:eastAsia="zh-CN"/>
        </w:rPr>
        <w:t>下降</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w:t>
      </w:r>
      <w:r>
        <w:rPr>
          <w:rFonts w:hint="eastAsia" w:ascii="仿宋" w:hAnsi="仿宋" w:eastAsia="仿宋"/>
          <w:color w:val="auto"/>
          <w:sz w:val="32"/>
          <w:szCs w:val="32"/>
          <w:lang w:eastAsia="zh-CN"/>
        </w:rPr>
        <w:t>。</w:t>
      </w:r>
    </w:p>
    <w:p>
      <w:pPr>
        <w:keepNext w:val="0"/>
        <w:keepLines w:val="0"/>
        <w:pageBreakBefore w:val="0"/>
        <w:kinsoku/>
        <w:wordWrap/>
        <w:overflowPunct/>
        <w:topLinePunct w:val="0"/>
        <w:autoSpaceDE/>
        <w:autoSpaceDN/>
        <w:bidi w:val="0"/>
        <w:adjustRightInd/>
        <w:spacing w:line="660" w:lineRule="exact"/>
        <w:ind w:firstLine="645"/>
        <w:textAlignment w:val="auto"/>
        <w:rPr>
          <w:rFonts w:ascii="仿宋" w:hAnsi="仿宋" w:eastAsia="仿宋"/>
          <w:b w:val="0"/>
          <w:bCs w:val="0"/>
          <w:color w:val="auto"/>
          <w:sz w:val="32"/>
          <w:szCs w:val="32"/>
        </w:rPr>
      </w:pPr>
      <w:r>
        <w:rPr>
          <w:rFonts w:hint="eastAsia" w:ascii="仿宋" w:hAnsi="仿宋" w:eastAsia="仿宋"/>
          <w:color w:val="auto"/>
          <w:sz w:val="32"/>
          <w:szCs w:val="32"/>
        </w:rPr>
        <w:t>项目支出</w:t>
      </w:r>
      <w:r>
        <w:rPr>
          <w:rFonts w:hint="eastAsia" w:ascii="仿宋" w:hAnsi="仿宋" w:eastAsia="仿宋"/>
          <w:color w:val="auto"/>
          <w:sz w:val="32"/>
          <w:szCs w:val="32"/>
          <w:lang w:val="en-US" w:eastAsia="zh-CN"/>
        </w:rPr>
        <w:t>296.71</w:t>
      </w:r>
      <w:r>
        <w:rPr>
          <w:rFonts w:hint="eastAsia" w:ascii="仿宋" w:hAnsi="仿宋" w:eastAsia="仿宋"/>
          <w:color w:val="auto"/>
          <w:sz w:val="32"/>
          <w:szCs w:val="32"/>
        </w:rPr>
        <w:t>万元，同比</w:t>
      </w:r>
      <w:r>
        <w:rPr>
          <w:rFonts w:hint="eastAsia" w:ascii="仿宋" w:hAnsi="仿宋" w:eastAsia="仿宋"/>
          <w:color w:val="auto"/>
          <w:sz w:val="32"/>
          <w:szCs w:val="32"/>
          <w:lang w:eastAsia="zh-CN"/>
        </w:rPr>
        <w:t>减少</w:t>
      </w:r>
      <w:r>
        <w:rPr>
          <w:rFonts w:hint="eastAsia" w:ascii="仿宋" w:hAnsi="仿宋" w:eastAsia="仿宋"/>
          <w:color w:val="auto"/>
          <w:sz w:val="32"/>
          <w:szCs w:val="32"/>
          <w:lang w:val="en-US" w:eastAsia="zh-CN"/>
        </w:rPr>
        <w:t>373.88</w:t>
      </w:r>
      <w:r>
        <w:rPr>
          <w:rFonts w:hint="eastAsia" w:ascii="仿宋" w:hAnsi="仿宋" w:eastAsia="仿宋"/>
          <w:color w:val="auto"/>
          <w:sz w:val="32"/>
          <w:szCs w:val="32"/>
        </w:rPr>
        <w:t>万元，同比</w:t>
      </w:r>
      <w:r>
        <w:rPr>
          <w:rFonts w:hint="eastAsia" w:ascii="仿宋" w:hAnsi="仿宋" w:eastAsia="仿宋"/>
          <w:color w:val="auto"/>
          <w:sz w:val="32"/>
          <w:szCs w:val="32"/>
          <w:lang w:eastAsia="zh-CN"/>
        </w:rPr>
        <w:t>下降</w:t>
      </w:r>
      <w:r>
        <w:rPr>
          <w:rFonts w:hint="eastAsia" w:ascii="仿宋" w:hAnsi="仿宋" w:eastAsia="仿宋"/>
          <w:color w:val="auto"/>
          <w:sz w:val="32"/>
          <w:szCs w:val="32"/>
          <w:lang w:val="en-US" w:eastAsia="zh-CN"/>
        </w:rPr>
        <w:t>55.75</w:t>
      </w:r>
      <w:r>
        <w:rPr>
          <w:rFonts w:hint="eastAsia" w:ascii="仿宋" w:hAnsi="仿宋" w:eastAsia="仿宋"/>
          <w:color w:val="auto"/>
          <w:sz w:val="32"/>
          <w:szCs w:val="32"/>
        </w:rPr>
        <w:t>%，其中：工资福利</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w:t>
      </w:r>
      <w:r>
        <w:rPr>
          <w:rFonts w:hint="eastAsia" w:ascii="仿宋" w:hAnsi="仿宋" w:eastAsia="仿宋"/>
          <w:color w:val="auto"/>
          <w:sz w:val="32"/>
          <w:szCs w:val="32"/>
          <w:lang w:eastAsia="zh-CN"/>
        </w:rPr>
        <w:t>同比上年减少</w:t>
      </w:r>
      <w:r>
        <w:rPr>
          <w:rFonts w:hint="eastAsia" w:ascii="仿宋" w:hAnsi="仿宋" w:eastAsia="仿宋"/>
          <w:color w:val="auto"/>
          <w:sz w:val="32"/>
          <w:szCs w:val="32"/>
          <w:lang w:val="en-US" w:eastAsia="zh-CN"/>
        </w:rPr>
        <w:t>33.51万元，</w:t>
      </w:r>
      <w:r>
        <w:rPr>
          <w:rFonts w:hint="eastAsia" w:ascii="仿宋" w:hAnsi="仿宋" w:eastAsia="仿宋"/>
          <w:color w:val="auto"/>
          <w:sz w:val="32"/>
          <w:szCs w:val="32"/>
        </w:rPr>
        <w:t>同比</w:t>
      </w:r>
      <w:r>
        <w:rPr>
          <w:rFonts w:hint="eastAsia" w:ascii="仿宋" w:hAnsi="仿宋" w:eastAsia="仿宋"/>
          <w:color w:val="auto"/>
          <w:sz w:val="32"/>
          <w:szCs w:val="32"/>
          <w:lang w:eastAsia="zh-CN"/>
        </w:rPr>
        <w:t>下降</w:t>
      </w:r>
      <w:r>
        <w:rPr>
          <w:rFonts w:hint="eastAsia" w:ascii="仿宋" w:hAnsi="仿宋" w:eastAsia="仿宋"/>
          <w:color w:val="auto"/>
          <w:sz w:val="32"/>
          <w:szCs w:val="32"/>
          <w:lang w:val="en-US" w:eastAsia="zh-CN"/>
        </w:rPr>
        <w:t>100%</w:t>
      </w:r>
      <w:r>
        <w:rPr>
          <w:rFonts w:hint="eastAsia" w:ascii="仿宋" w:hAnsi="仿宋" w:eastAsia="仿宋"/>
          <w:color w:val="auto"/>
          <w:sz w:val="32"/>
          <w:szCs w:val="32"/>
          <w:lang w:eastAsia="zh-CN"/>
        </w:rPr>
        <w:t>；</w:t>
      </w:r>
      <w:r>
        <w:rPr>
          <w:rFonts w:hint="eastAsia" w:ascii="仿宋" w:hAnsi="仿宋" w:eastAsia="仿宋"/>
          <w:color w:val="auto"/>
          <w:sz w:val="32"/>
          <w:szCs w:val="32"/>
        </w:rPr>
        <w:t>商品和服务支出</w:t>
      </w:r>
      <w:r>
        <w:rPr>
          <w:rFonts w:hint="eastAsia" w:ascii="仿宋" w:hAnsi="仿宋" w:eastAsia="仿宋"/>
          <w:color w:val="auto"/>
          <w:sz w:val="32"/>
          <w:szCs w:val="32"/>
          <w:lang w:val="en-US" w:eastAsia="zh-CN"/>
        </w:rPr>
        <w:t>219.76</w:t>
      </w:r>
      <w:r>
        <w:rPr>
          <w:rFonts w:hint="eastAsia" w:ascii="仿宋" w:hAnsi="仿宋" w:eastAsia="仿宋"/>
          <w:color w:val="auto"/>
          <w:sz w:val="32"/>
          <w:szCs w:val="32"/>
        </w:rPr>
        <w:t>万元，同比上年</w:t>
      </w:r>
      <w:r>
        <w:rPr>
          <w:rFonts w:hint="eastAsia" w:ascii="仿宋" w:hAnsi="仿宋" w:eastAsia="仿宋"/>
          <w:color w:val="auto"/>
          <w:sz w:val="32"/>
          <w:szCs w:val="32"/>
          <w:lang w:eastAsia="zh-CN"/>
        </w:rPr>
        <w:t>减少</w:t>
      </w:r>
      <w:r>
        <w:rPr>
          <w:rFonts w:hint="eastAsia" w:ascii="仿宋" w:hAnsi="仿宋" w:eastAsia="仿宋"/>
          <w:color w:val="auto"/>
          <w:sz w:val="32"/>
          <w:szCs w:val="32"/>
          <w:lang w:val="en-US" w:eastAsia="zh-CN"/>
        </w:rPr>
        <w:t>150.81</w:t>
      </w:r>
      <w:r>
        <w:rPr>
          <w:rFonts w:hint="eastAsia" w:ascii="仿宋" w:hAnsi="仿宋" w:eastAsia="仿宋"/>
          <w:color w:val="auto"/>
          <w:sz w:val="32"/>
          <w:szCs w:val="32"/>
        </w:rPr>
        <w:t>万元，同比</w:t>
      </w:r>
      <w:r>
        <w:rPr>
          <w:rFonts w:hint="eastAsia" w:ascii="仿宋" w:hAnsi="仿宋" w:eastAsia="仿宋"/>
          <w:color w:val="auto"/>
          <w:sz w:val="32"/>
          <w:szCs w:val="32"/>
          <w:lang w:eastAsia="zh-CN"/>
        </w:rPr>
        <w:t>下降</w:t>
      </w:r>
      <w:r>
        <w:rPr>
          <w:rFonts w:hint="eastAsia" w:ascii="仿宋" w:hAnsi="仿宋" w:eastAsia="仿宋"/>
          <w:color w:val="auto"/>
          <w:sz w:val="32"/>
          <w:szCs w:val="32"/>
          <w:lang w:val="en-US" w:eastAsia="zh-CN"/>
        </w:rPr>
        <w:t>40.70</w:t>
      </w:r>
      <w:r>
        <w:rPr>
          <w:rFonts w:hint="eastAsia" w:ascii="仿宋" w:hAnsi="仿宋" w:eastAsia="仿宋"/>
          <w:color w:val="auto"/>
          <w:sz w:val="32"/>
          <w:szCs w:val="32"/>
        </w:rPr>
        <w:t>%</w:t>
      </w:r>
      <w:r>
        <w:rPr>
          <w:rFonts w:hint="eastAsia" w:ascii="仿宋" w:hAnsi="仿宋" w:eastAsia="仿宋"/>
          <w:color w:val="auto"/>
          <w:sz w:val="32"/>
          <w:szCs w:val="32"/>
          <w:lang w:eastAsia="zh-CN"/>
        </w:rPr>
        <w:t>；</w:t>
      </w:r>
      <w:r>
        <w:rPr>
          <w:rFonts w:hint="eastAsia" w:ascii="仿宋" w:hAnsi="仿宋" w:eastAsia="仿宋"/>
          <w:color w:val="auto"/>
          <w:sz w:val="32"/>
          <w:szCs w:val="32"/>
        </w:rPr>
        <w:t>对个人和家庭的补助支出</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万元，同比上年</w:t>
      </w:r>
      <w:r>
        <w:rPr>
          <w:rFonts w:hint="eastAsia" w:ascii="仿宋" w:hAnsi="仿宋" w:eastAsia="仿宋"/>
          <w:color w:val="auto"/>
          <w:sz w:val="32"/>
          <w:szCs w:val="32"/>
          <w:lang w:eastAsia="zh-CN"/>
        </w:rPr>
        <w:t>减少</w:t>
      </w:r>
      <w:r>
        <w:rPr>
          <w:rFonts w:hint="eastAsia" w:ascii="仿宋" w:hAnsi="仿宋" w:eastAsia="仿宋"/>
          <w:color w:val="auto"/>
          <w:sz w:val="32"/>
          <w:szCs w:val="32"/>
          <w:lang w:val="en-US" w:eastAsia="zh-CN"/>
        </w:rPr>
        <w:t>3.9</w:t>
      </w:r>
      <w:r>
        <w:rPr>
          <w:rFonts w:hint="eastAsia" w:ascii="仿宋" w:hAnsi="仿宋" w:eastAsia="仿宋"/>
          <w:color w:val="auto"/>
          <w:sz w:val="32"/>
          <w:szCs w:val="32"/>
        </w:rPr>
        <w:t>万元，同比</w:t>
      </w:r>
      <w:r>
        <w:rPr>
          <w:rFonts w:hint="eastAsia" w:ascii="仿宋" w:hAnsi="仿宋" w:eastAsia="仿宋"/>
          <w:color w:val="auto"/>
          <w:sz w:val="32"/>
          <w:szCs w:val="32"/>
          <w:lang w:eastAsia="zh-CN"/>
        </w:rPr>
        <w:t>下降</w:t>
      </w:r>
      <w:r>
        <w:rPr>
          <w:rFonts w:hint="eastAsia" w:ascii="仿宋" w:hAnsi="仿宋" w:eastAsia="仿宋"/>
          <w:color w:val="auto"/>
          <w:sz w:val="32"/>
          <w:szCs w:val="32"/>
          <w:lang w:val="en-US" w:eastAsia="zh-CN"/>
        </w:rPr>
        <w:t>100</w:t>
      </w:r>
      <w:r>
        <w:rPr>
          <w:rFonts w:hint="eastAsia" w:ascii="仿宋" w:hAnsi="仿宋" w:eastAsia="仿宋"/>
          <w:color w:val="auto"/>
          <w:sz w:val="32"/>
          <w:szCs w:val="32"/>
        </w:rPr>
        <w:t>%；</w:t>
      </w:r>
      <w:r>
        <w:rPr>
          <w:rFonts w:hint="eastAsia" w:ascii="仿宋" w:hAnsi="仿宋" w:eastAsia="仿宋"/>
          <w:b w:val="0"/>
          <w:bCs w:val="0"/>
          <w:color w:val="auto"/>
          <w:sz w:val="32"/>
          <w:szCs w:val="32"/>
        </w:rPr>
        <w:t>资本性支出</w:t>
      </w:r>
      <w:r>
        <w:rPr>
          <w:rFonts w:hint="eastAsia" w:ascii="仿宋" w:hAnsi="仿宋" w:eastAsia="仿宋"/>
          <w:b w:val="0"/>
          <w:bCs w:val="0"/>
          <w:color w:val="auto"/>
          <w:sz w:val="32"/>
          <w:szCs w:val="32"/>
          <w:lang w:val="en-US" w:eastAsia="zh-CN"/>
        </w:rPr>
        <w:t>76.95</w:t>
      </w:r>
      <w:r>
        <w:rPr>
          <w:rFonts w:hint="eastAsia" w:ascii="仿宋" w:hAnsi="仿宋" w:eastAsia="仿宋"/>
          <w:b w:val="0"/>
          <w:bCs w:val="0"/>
          <w:color w:val="auto"/>
          <w:sz w:val="32"/>
          <w:szCs w:val="32"/>
        </w:rPr>
        <w:t>万元，同比</w:t>
      </w:r>
      <w:r>
        <w:rPr>
          <w:rFonts w:hint="eastAsia" w:ascii="仿宋" w:hAnsi="仿宋" w:eastAsia="仿宋"/>
          <w:b w:val="0"/>
          <w:bCs w:val="0"/>
          <w:color w:val="auto"/>
          <w:sz w:val="32"/>
          <w:szCs w:val="32"/>
          <w:lang w:eastAsia="zh-CN"/>
        </w:rPr>
        <w:t>上年减少</w:t>
      </w:r>
      <w:r>
        <w:rPr>
          <w:rFonts w:hint="eastAsia" w:ascii="仿宋" w:hAnsi="仿宋" w:eastAsia="仿宋"/>
          <w:b w:val="0"/>
          <w:bCs w:val="0"/>
          <w:color w:val="auto"/>
          <w:sz w:val="32"/>
          <w:szCs w:val="32"/>
          <w:lang w:val="en-US" w:eastAsia="zh-CN"/>
        </w:rPr>
        <w:t>185.26万元，同比下降70.65</w:t>
      </w:r>
      <w:r>
        <w:rPr>
          <w:rFonts w:hint="eastAsia" w:ascii="仿宋" w:hAnsi="仿宋" w:eastAsia="仿宋"/>
          <w:b w:val="0"/>
          <w:bCs w:val="0"/>
          <w:color w:val="auto"/>
          <w:sz w:val="32"/>
          <w:szCs w:val="32"/>
        </w:rPr>
        <w:t>%</w:t>
      </w:r>
      <w:r>
        <w:rPr>
          <w:rFonts w:hint="eastAsia" w:ascii="仿宋" w:hAnsi="仿宋" w:eastAsia="仿宋"/>
          <w:b w:val="0"/>
          <w:bCs w:val="0"/>
          <w:color w:val="auto"/>
          <w:sz w:val="32"/>
          <w:szCs w:val="32"/>
          <w:lang w:eastAsia="zh-CN"/>
        </w:rPr>
        <w:t>；其他收入支出</w:t>
      </w:r>
      <w:r>
        <w:rPr>
          <w:rFonts w:hint="eastAsia" w:ascii="仿宋" w:hAnsi="仿宋" w:eastAsia="仿宋"/>
          <w:b w:val="0"/>
          <w:bCs w:val="0"/>
          <w:color w:val="auto"/>
          <w:sz w:val="32"/>
          <w:szCs w:val="32"/>
          <w:lang w:val="en-US" w:eastAsia="zh-CN"/>
        </w:rPr>
        <w:t>0万元，</w:t>
      </w:r>
      <w:r>
        <w:rPr>
          <w:rFonts w:hint="eastAsia" w:ascii="仿宋" w:hAnsi="仿宋" w:eastAsia="仿宋"/>
          <w:color w:val="auto"/>
          <w:sz w:val="32"/>
          <w:szCs w:val="32"/>
          <w:lang w:val="en-US" w:eastAsia="zh-CN"/>
        </w:rPr>
        <w:t>同比上年减少0.40万元，同比下降100%</w:t>
      </w:r>
      <w:r>
        <w:rPr>
          <w:rFonts w:hint="eastAsia" w:ascii="仿宋" w:hAnsi="仿宋" w:eastAsia="仿宋"/>
          <w:b w:val="0"/>
          <w:bCs w:val="0"/>
          <w:color w:val="auto"/>
          <w:sz w:val="32"/>
          <w:szCs w:val="32"/>
        </w:rPr>
        <w:t>。</w:t>
      </w:r>
    </w:p>
    <w:p>
      <w:pPr>
        <w:keepNext w:val="0"/>
        <w:keepLines w:val="0"/>
        <w:pageBreakBefore w:val="0"/>
        <w:kinsoku/>
        <w:wordWrap/>
        <w:overflowPunct/>
        <w:topLinePunct w:val="0"/>
        <w:autoSpaceDE/>
        <w:autoSpaceDN/>
        <w:bidi w:val="0"/>
        <w:adjustRightInd/>
        <w:spacing w:line="660" w:lineRule="exact"/>
        <w:ind w:firstLine="645"/>
        <w:textAlignment w:val="auto"/>
        <w:rPr>
          <w:rFonts w:ascii="仿宋" w:hAnsi="仿宋" w:eastAsia="仿宋"/>
          <w:b/>
          <w:bCs/>
          <w:color w:val="auto"/>
          <w:sz w:val="32"/>
          <w:szCs w:val="32"/>
        </w:rPr>
      </w:pPr>
      <w:r>
        <w:rPr>
          <w:rFonts w:hint="eastAsia" w:ascii="仿宋" w:hAnsi="仿宋" w:eastAsia="仿宋"/>
          <w:b/>
          <w:bCs/>
          <w:color w:val="auto"/>
          <w:sz w:val="32"/>
          <w:szCs w:val="32"/>
        </w:rPr>
        <w:t>三、“三公”经费支出情况</w:t>
      </w:r>
    </w:p>
    <w:p>
      <w:pPr>
        <w:keepNext w:val="0"/>
        <w:keepLines w:val="0"/>
        <w:pageBreakBefore w:val="0"/>
        <w:kinsoku/>
        <w:wordWrap/>
        <w:overflowPunct/>
        <w:topLinePunct w:val="0"/>
        <w:autoSpaceDE/>
        <w:autoSpaceDN/>
        <w:bidi w:val="0"/>
        <w:adjustRightInd/>
        <w:spacing w:line="660" w:lineRule="exact"/>
        <w:ind w:firstLine="645"/>
        <w:textAlignment w:val="auto"/>
        <w:rPr>
          <w:rFonts w:hint="eastAsia" w:ascii="仿宋" w:hAnsi="仿宋" w:eastAsia="仿宋"/>
          <w:color w:val="auto"/>
          <w:sz w:val="32"/>
          <w:szCs w:val="32"/>
        </w:rPr>
      </w:pPr>
      <w:r>
        <w:rPr>
          <w:rFonts w:hint="eastAsia" w:ascii="仿宋" w:hAnsi="仿宋" w:eastAsia="仿宋"/>
          <w:color w:val="auto"/>
          <w:sz w:val="32"/>
          <w:szCs w:val="32"/>
        </w:rPr>
        <w:t>我单位年末公共预算财政拨款开支运行维护费的公务用车保有量为</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辆，公务用车车运行维护费</w:t>
      </w:r>
      <w:r>
        <w:rPr>
          <w:rFonts w:hint="eastAsia" w:ascii="仿宋" w:hAnsi="仿宋" w:eastAsia="仿宋"/>
          <w:color w:val="auto"/>
          <w:sz w:val="32"/>
          <w:szCs w:val="32"/>
          <w:lang w:val="en-US" w:eastAsia="zh-CN"/>
        </w:rPr>
        <w:t>4.5</w:t>
      </w:r>
      <w:r>
        <w:rPr>
          <w:rFonts w:hint="eastAsia" w:ascii="仿宋" w:hAnsi="仿宋" w:eastAsia="仿宋"/>
          <w:color w:val="auto"/>
          <w:sz w:val="32"/>
          <w:szCs w:val="32"/>
        </w:rPr>
        <w:t>万元，占年初预算</w:t>
      </w:r>
      <w:r>
        <w:rPr>
          <w:rFonts w:hint="eastAsia" w:ascii="仿宋" w:hAnsi="仿宋" w:eastAsia="仿宋"/>
          <w:color w:val="auto"/>
          <w:sz w:val="32"/>
          <w:szCs w:val="32"/>
          <w:lang w:val="en-US" w:eastAsia="zh-CN"/>
        </w:rPr>
        <w:t>4.5</w:t>
      </w:r>
      <w:r>
        <w:rPr>
          <w:rFonts w:hint="eastAsia" w:ascii="仿宋" w:hAnsi="仿宋" w:eastAsia="仿宋"/>
          <w:color w:val="auto"/>
          <w:sz w:val="32"/>
          <w:szCs w:val="32"/>
        </w:rPr>
        <w:t>万元的</w:t>
      </w:r>
      <w:r>
        <w:rPr>
          <w:rFonts w:hint="eastAsia" w:ascii="仿宋" w:hAnsi="仿宋" w:eastAsia="仿宋"/>
          <w:color w:val="auto"/>
          <w:sz w:val="32"/>
          <w:szCs w:val="32"/>
          <w:lang w:val="en-US" w:eastAsia="zh-CN"/>
        </w:rPr>
        <w:t>100</w:t>
      </w:r>
      <w:r>
        <w:rPr>
          <w:rFonts w:hint="eastAsia" w:ascii="仿宋" w:hAnsi="仿宋" w:eastAsia="仿宋"/>
          <w:color w:val="auto"/>
          <w:sz w:val="32"/>
          <w:szCs w:val="32"/>
        </w:rPr>
        <w:t>%，比上年</w:t>
      </w:r>
      <w:r>
        <w:rPr>
          <w:rFonts w:hint="eastAsia" w:ascii="仿宋" w:hAnsi="仿宋" w:eastAsia="仿宋"/>
          <w:color w:val="auto"/>
          <w:sz w:val="32"/>
          <w:szCs w:val="32"/>
          <w:lang w:eastAsia="zh-CN"/>
        </w:rPr>
        <w:t>增加</w:t>
      </w:r>
      <w:r>
        <w:rPr>
          <w:rFonts w:hint="eastAsia" w:ascii="仿宋" w:hAnsi="仿宋" w:eastAsia="仿宋"/>
          <w:color w:val="auto"/>
          <w:sz w:val="32"/>
          <w:szCs w:val="32"/>
          <w:lang w:val="en-US" w:eastAsia="zh-CN"/>
        </w:rPr>
        <w:t>1.5</w:t>
      </w:r>
      <w:r>
        <w:rPr>
          <w:rFonts w:hint="eastAsia" w:ascii="仿宋" w:hAnsi="仿宋" w:eastAsia="仿宋"/>
          <w:color w:val="auto"/>
          <w:sz w:val="32"/>
          <w:szCs w:val="32"/>
        </w:rPr>
        <w:t>万元；本年度使用公共预算财政拨款支出国内公务接待</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次</w:t>
      </w:r>
      <w:r>
        <w:rPr>
          <w:rFonts w:hint="eastAsia" w:ascii="仿宋" w:hAnsi="仿宋" w:eastAsia="仿宋"/>
          <w:color w:val="auto"/>
          <w:sz w:val="32"/>
          <w:szCs w:val="32"/>
          <w:lang w:val="en-US" w:eastAsia="zh-CN"/>
        </w:rPr>
        <w:t>18</w:t>
      </w:r>
      <w:r>
        <w:rPr>
          <w:rFonts w:hint="eastAsia" w:ascii="仿宋" w:hAnsi="仿宋" w:eastAsia="仿宋"/>
          <w:color w:val="auto"/>
          <w:sz w:val="32"/>
          <w:szCs w:val="32"/>
        </w:rPr>
        <w:t>人</w:t>
      </w:r>
      <w:r>
        <w:rPr>
          <w:rFonts w:hint="eastAsia" w:ascii="仿宋" w:hAnsi="仿宋" w:eastAsia="仿宋"/>
          <w:color w:val="auto"/>
          <w:sz w:val="32"/>
          <w:szCs w:val="32"/>
          <w:lang w:val="en-US" w:eastAsia="zh-CN"/>
        </w:rPr>
        <w:t>0.17</w:t>
      </w:r>
      <w:r>
        <w:rPr>
          <w:rFonts w:hint="eastAsia" w:ascii="仿宋" w:hAnsi="仿宋" w:eastAsia="仿宋"/>
          <w:color w:val="auto"/>
          <w:sz w:val="32"/>
          <w:szCs w:val="32"/>
        </w:rPr>
        <w:t>万元，无外事接待，占年初预算0.</w:t>
      </w:r>
      <w:r>
        <w:rPr>
          <w:rFonts w:hint="eastAsia" w:ascii="仿宋" w:hAnsi="仿宋" w:eastAsia="仿宋"/>
          <w:color w:val="auto"/>
          <w:sz w:val="32"/>
          <w:szCs w:val="32"/>
          <w:lang w:val="en-US" w:eastAsia="zh-CN"/>
        </w:rPr>
        <w:t>35</w:t>
      </w:r>
      <w:r>
        <w:rPr>
          <w:rFonts w:hint="eastAsia" w:ascii="仿宋" w:hAnsi="仿宋" w:eastAsia="仿宋"/>
          <w:color w:val="auto"/>
          <w:sz w:val="32"/>
          <w:szCs w:val="32"/>
        </w:rPr>
        <w:t>万元的</w:t>
      </w:r>
      <w:r>
        <w:rPr>
          <w:rFonts w:hint="eastAsia" w:ascii="仿宋" w:hAnsi="仿宋" w:eastAsia="仿宋"/>
          <w:color w:val="auto"/>
          <w:sz w:val="32"/>
          <w:szCs w:val="32"/>
          <w:lang w:val="en-US" w:eastAsia="zh-CN"/>
        </w:rPr>
        <w:t>48.57</w:t>
      </w:r>
      <w:r>
        <w:rPr>
          <w:rFonts w:hint="eastAsia" w:ascii="仿宋" w:hAnsi="仿宋" w:eastAsia="仿宋"/>
          <w:color w:val="auto"/>
          <w:sz w:val="32"/>
          <w:szCs w:val="32"/>
        </w:rPr>
        <w:t>%，比去年</w:t>
      </w:r>
      <w:r>
        <w:rPr>
          <w:rFonts w:hint="eastAsia" w:ascii="仿宋" w:hAnsi="仿宋" w:eastAsia="仿宋"/>
          <w:color w:val="auto"/>
          <w:sz w:val="32"/>
          <w:szCs w:val="32"/>
          <w:lang w:eastAsia="zh-CN"/>
        </w:rPr>
        <w:t>减少</w:t>
      </w:r>
      <w:r>
        <w:rPr>
          <w:rFonts w:hint="eastAsia" w:ascii="仿宋" w:hAnsi="仿宋" w:eastAsia="仿宋"/>
          <w:color w:val="auto"/>
          <w:sz w:val="32"/>
          <w:szCs w:val="32"/>
          <w:lang w:val="en-US" w:eastAsia="zh-CN"/>
        </w:rPr>
        <w:t>0.17</w:t>
      </w:r>
      <w:r>
        <w:rPr>
          <w:rFonts w:hint="eastAsia" w:ascii="仿宋" w:hAnsi="仿宋" w:eastAsia="仿宋"/>
          <w:color w:val="auto"/>
          <w:sz w:val="32"/>
          <w:szCs w:val="32"/>
        </w:rPr>
        <w:t>万元。</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b/>
          <w:bCs/>
          <w:sz w:val="32"/>
          <w:szCs w:val="32"/>
          <w:lang w:eastAsia="zh-CN"/>
        </w:rPr>
      </w:pPr>
      <w:r>
        <w:rPr>
          <w:rFonts w:hint="eastAsia" w:ascii="仿宋" w:hAnsi="仿宋" w:eastAsia="仿宋"/>
          <w:b/>
          <w:bCs/>
          <w:sz w:val="32"/>
          <w:szCs w:val="32"/>
          <w:lang w:eastAsia="zh-CN"/>
        </w:rPr>
        <w:t>四、其他重要事情情况说明</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b/>
          <w:bCs/>
          <w:color w:val="auto"/>
          <w:sz w:val="32"/>
          <w:szCs w:val="32"/>
          <w:lang w:eastAsia="zh-CN"/>
        </w:rPr>
      </w:pPr>
      <w:r>
        <w:rPr>
          <w:rFonts w:hint="eastAsia" w:ascii="仿宋" w:hAnsi="仿宋" w:eastAsia="仿宋"/>
          <w:b/>
          <w:bCs/>
          <w:sz w:val="32"/>
          <w:szCs w:val="32"/>
          <w:lang w:eastAsia="zh-CN"/>
        </w:rPr>
        <w:t>（一）</w:t>
      </w:r>
      <w:r>
        <w:rPr>
          <w:rFonts w:hint="eastAsia" w:ascii="仿宋" w:hAnsi="仿宋" w:eastAsia="仿宋"/>
          <w:b/>
          <w:bCs/>
          <w:sz w:val="32"/>
          <w:szCs w:val="32"/>
        </w:rPr>
        <w:t>机关运行经费支出情况</w:t>
      </w:r>
      <w:r>
        <w:rPr>
          <w:rFonts w:hint="eastAsia" w:ascii="仿宋" w:hAnsi="仿宋" w:eastAsia="仿宋"/>
          <w:b/>
          <w:bCs/>
          <w:sz w:val="32"/>
          <w:szCs w:val="32"/>
          <w:lang w:eastAsia="zh-CN"/>
        </w:rPr>
        <w:t>说明</w:t>
      </w:r>
    </w:p>
    <w:p>
      <w:pPr>
        <w:keepNext w:val="0"/>
        <w:keepLines w:val="0"/>
        <w:pageBreakBefore w:val="0"/>
        <w:kinsoku/>
        <w:wordWrap/>
        <w:overflowPunct/>
        <w:topLinePunct w:val="0"/>
        <w:autoSpaceDE/>
        <w:autoSpaceDN/>
        <w:bidi w:val="0"/>
        <w:adjustRightInd/>
        <w:spacing w:line="660" w:lineRule="exact"/>
        <w:ind w:firstLine="645"/>
        <w:textAlignment w:val="auto"/>
        <w:rPr>
          <w:rFonts w:hint="eastAsia" w:ascii="仿宋" w:hAnsi="仿宋" w:eastAsia="仿宋"/>
          <w:color w:val="auto"/>
          <w:sz w:val="32"/>
          <w:szCs w:val="32"/>
        </w:rPr>
      </w:pPr>
      <w:r>
        <w:rPr>
          <w:rFonts w:hint="eastAsia" w:ascii="仿宋" w:hAnsi="仿宋" w:eastAsia="仿宋"/>
          <w:b w:val="0"/>
          <w:bCs w:val="0"/>
          <w:color w:val="auto"/>
          <w:sz w:val="32"/>
          <w:szCs w:val="32"/>
          <w:lang w:val="en-US" w:eastAsia="zh-CN"/>
        </w:rPr>
        <w:t>2021年本单位机关运行经费支出0 万元（与部门决算中行政单位和参照公务员法管理的事业单位一般公共预算财政拨款基本支出中公用经费之和保持一致），比2020年增加（决算）0 万元.</w:t>
      </w:r>
      <w:r>
        <w:rPr>
          <w:rFonts w:hint="eastAsia" w:ascii="仿宋" w:hAnsi="仿宋" w:eastAsia="仿宋"/>
          <w:color w:val="auto"/>
          <w:sz w:val="32"/>
          <w:szCs w:val="32"/>
        </w:rPr>
        <w:t xml:space="preserve">    </w:t>
      </w:r>
    </w:p>
    <w:p>
      <w:pPr>
        <w:keepNext w:val="0"/>
        <w:keepLines w:val="0"/>
        <w:pageBreakBefore w:val="0"/>
        <w:kinsoku/>
        <w:wordWrap/>
        <w:overflowPunct/>
        <w:topLinePunct w:val="0"/>
        <w:autoSpaceDE/>
        <w:autoSpaceDN/>
        <w:bidi w:val="0"/>
        <w:adjustRightInd/>
        <w:spacing w:line="660" w:lineRule="exact"/>
        <w:ind w:firstLine="643" w:firstLineChars="200"/>
        <w:textAlignment w:val="auto"/>
        <w:rPr>
          <w:rFonts w:ascii="仿宋_GB2312" w:hAnsi="仿宋" w:eastAsia="仿宋_GB2312"/>
          <w:b/>
          <w:bCs/>
          <w:color w:val="auto"/>
          <w:sz w:val="32"/>
          <w:szCs w:val="32"/>
        </w:rPr>
      </w:pPr>
      <w:r>
        <w:rPr>
          <w:rFonts w:hint="eastAsia" w:ascii="仿宋" w:hAnsi="仿宋" w:eastAsia="仿宋"/>
          <w:b/>
          <w:sz w:val="32"/>
          <w:szCs w:val="32"/>
          <w:lang w:eastAsia="zh-CN"/>
        </w:rPr>
        <w:t>（二）</w:t>
      </w:r>
      <w:r>
        <w:rPr>
          <w:rFonts w:hint="eastAsia" w:ascii="仿宋" w:hAnsi="仿宋" w:eastAsia="仿宋"/>
          <w:b/>
          <w:sz w:val="32"/>
          <w:szCs w:val="32"/>
        </w:rPr>
        <w:t>政府采购情况</w:t>
      </w:r>
      <w:r>
        <w:rPr>
          <w:rFonts w:hint="eastAsia" w:ascii="仿宋" w:hAnsi="仿宋" w:eastAsia="仿宋"/>
          <w:b/>
          <w:sz w:val="32"/>
          <w:szCs w:val="32"/>
          <w:lang w:eastAsia="zh-CN"/>
        </w:rPr>
        <w:t>说明</w:t>
      </w:r>
    </w:p>
    <w:p>
      <w:pPr>
        <w:keepNext w:val="0"/>
        <w:keepLines w:val="0"/>
        <w:pageBreakBefore w:val="0"/>
        <w:kinsoku/>
        <w:wordWrap/>
        <w:overflowPunct/>
        <w:topLinePunct w:val="0"/>
        <w:autoSpaceDE/>
        <w:autoSpaceDN/>
        <w:bidi w:val="0"/>
        <w:adjustRightInd/>
        <w:spacing w:line="660" w:lineRule="exact"/>
        <w:ind w:firstLine="640" w:firstLineChars="200"/>
        <w:textAlignment w:val="auto"/>
        <w:rPr>
          <w:rFonts w:hint="eastAsia" w:ascii="仿宋" w:hAnsi="仿宋" w:eastAsia="仿宋"/>
          <w:color w:val="auto"/>
          <w:sz w:val="32"/>
          <w:szCs w:val="32"/>
        </w:rPr>
      </w:pPr>
      <w:r>
        <w:rPr>
          <w:rFonts w:hint="eastAsia" w:ascii="仿宋_GB2312" w:hAnsi="仿宋" w:eastAsia="仿宋_GB2312"/>
          <w:color w:val="auto"/>
          <w:sz w:val="32"/>
          <w:szCs w:val="32"/>
        </w:rPr>
        <w:t>20</w:t>
      </w:r>
      <w:r>
        <w:rPr>
          <w:rFonts w:hint="eastAsia" w:ascii="仿宋_GB2312" w:hAnsi="仿宋" w:eastAsia="仿宋_GB2312"/>
          <w:color w:val="auto"/>
          <w:sz w:val="32"/>
          <w:szCs w:val="32"/>
          <w:lang w:val="en-US" w:eastAsia="zh-CN"/>
        </w:rPr>
        <w:t>21</w:t>
      </w:r>
      <w:r>
        <w:rPr>
          <w:rFonts w:hint="eastAsia" w:ascii="仿宋_GB2312" w:hAnsi="仿宋" w:eastAsia="仿宋_GB2312"/>
          <w:color w:val="auto"/>
          <w:sz w:val="32"/>
          <w:szCs w:val="32"/>
        </w:rPr>
        <w:t xml:space="preserve">年政府采购预算总额 </w:t>
      </w:r>
      <w:r>
        <w:rPr>
          <w:rFonts w:hint="eastAsia" w:ascii="仿宋_GB2312" w:hAnsi="仿宋" w:eastAsia="仿宋_GB2312"/>
          <w:color w:val="auto"/>
          <w:sz w:val="32"/>
          <w:szCs w:val="32"/>
          <w:lang w:val="en-US" w:eastAsia="zh-CN"/>
        </w:rPr>
        <w:t>20.25</w:t>
      </w:r>
      <w:r>
        <w:rPr>
          <w:rFonts w:hint="eastAsia" w:ascii="仿宋_GB2312" w:hAnsi="仿宋" w:eastAsia="仿宋_GB2312"/>
          <w:color w:val="auto"/>
          <w:sz w:val="32"/>
          <w:szCs w:val="32"/>
        </w:rPr>
        <w:t>万元，</w:t>
      </w:r>
      <w:r>
        <w:rPr>
          <w:rFonts w:hint="eastAsia" w:ascii="仿宋" w:hAnsi="仿宋" w:eastAsia="仿宋"/>
          <w:color w:val="auto"/>
          <w:sz w:val="32"/>
          <w:szCs w:val="32"/>
        </w:rPr>
        <w:t>其中：货物计划金额</w:t>
      </w:r>
      <w:r>
        <w:rPr>
          <w:rFonts w:hint="eastAsia" w:ascii="仿宋" w:hAnsi="仿宋" w:eastAsia="仿宋"/>
          <w:color w:val="auto"/>
          <w:sz w:val="32"/>
          <w:szCs w:val="32"/>
          <w:lang w:val="en-US" w:eastAsia="zh-CN"/>
        </w:rPr>
        <w:t>20.25万</w:t>
      </w:r>
      <w:r>
        <w:rPr>
          <w:rFonts w:hint="eastAsia" w:ascii="仿宋" w:hAnsi="仿宋" w:eastAsia="仿宋"/>
          <w:color w:val="auto"/>
          <w:sz w:val="32"/>
          <w:szCs w:val="32"/>
        </w:rPr>
        <w:t>元、工程计划金额0</w:t>
      </w:r>
      <w:r>
        <w:rPr>
          <w:rFonts w:hint="eastAsia" w:ascii="仿宋" w:hAnsi="仿宋" w:eastAsia="仿宋"/>
          <w:color w:val="auto"/>
          <w:sz w:val="32"/>
          <w:szCs w:val="32"/>
          <w:lang w:val="en-US" w:eastAsia="zh-CN"/>
        </w:rPr>
        <w:t>万</w:t>
      </w:r>
      <w:r>
        <w:rPr>
          <w:rFonts w:hint="eastAsia" w:ascii="仿宋" w:hAnsi="仿宋" w:eastAsia="仿宋"/>
          <w:color w:val="auto"/>
          <w:sz w:val="32"/>
          <w:szCs w:val="32"/>
        </w:rPr>
        <w:t>元、服务计划金额</w:t>
      </w:r>
      <w:r>
        <w:rPr>
          <w:rFonts w:hint="eastAsia" w:ascii="仿宋" w:hAnsi="仿宋" w:eastAsia="仿宋"/>
          <w:color w:val="auto"/>
          <w:sz w:val="32"/>
          <w:szCs w:val="32"/>
          <w:lang w:val="en-US" w:eastAsia="zh-CN"/>
        </w:rPr>
        <w:t>0万</w:t>
      </w:r>
      <w:r>
        <w:rPr>
          <w:rFonts w:hint="eastAsia" w:ascii="仿宋" w:hAnsi="仿宋" w:eastAsia="仿宋"/>
          <w:color w:val="auto"/>
          <w:sz w:val="32"/>
          <w:szCs w:val="32"/>
        </w:rPr>
        <w:t>元。</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b/>
          <w:bCs/>
          <w:sz w:val="32"/>
          <w:szCs w:val="32"/>
          <w:lang w:eastAsia="zh-CN"/>
        </w:rPr>
      </w:pPr>
      <w:r>
        <w:rPr>
          <w:rFonts w:hint="eastAsia" w:ascii="仿宋" w:hAnsi="仿宋" w:eastAsia="仿宋"/>
          <w:b/>
          <w:bCs/>
          <w:sz w:val="32"/>
          <w:szCs w:val="32"/>
          <w:lang w:eastAsia="zh-CN"/>
        </w:rPr>
        <w:t>（三）</w:t>
      </w:r>
      <w:r>
        <w:rPr>
          <w:rFonts w:hint="eastAsia" w:ascii="仿宋" w:hAnsi="仿宋" w:eastAsia="仿宋"/>
          <w:b/>
          <w:bCs/>
          <w:sz w:val="32"/>
          <w:szCs w:val="32"/>
        </w:rPr>
        <w:t>国有资产占用情况</w:t>
      </w:r>
      <w:r>
        <w:rPr>
          <w:rFonts w:hint="eastAsia" w:ascii="仿宋" w:hAnsi="仿宋" w:eastAsia="仿宋"/>
          <w:b/>
          <w:bCs/>
          <w:sz w:val="32"/>
          <w:szCs w:val="32"/>
          <w:lang w:eastAsia="zh-CN"/>
        </w:rPr>
        <w:t>说明</w:t>
      </w:r>
    </w:p>
    <w:p>
      <w:pPr>
        <w:keepNext w:val="0"/>
        <w:keepLines w:val="0"/>
        <w:pageBreakBefore w:val="0"/>
        <w:kinsoku/>
        <w:wordWrap/>
        <w:overflowPunct/>
        <w:topLinePunct w:val="0"/>
        <w:autoSpaceDE/>
        <w:autoSpaceDN/>
        <w:bidi w:val="0"/>
        <w:adjustRightInd/>
        <w:spacing w:line="660" w:lineRule="exact"/>
        <w:ind w:firstLine="645"/>
        <w:textAlignment w:val="auto"/>
        <w:rPr>
          <w:rFonts w:hint="eastAsia" w:ascii="仿宋" w:hAnsi="仿宋" w:eastAsia="仿宋"/>
          <w:b w:val="0"/>
          <w:bCs w:val="0"/>
          <w:color w:val="auto"/>
          <w:sz w:val="32"/>
          <w:szCs w:val="32"/>
          <w:lang w:val="en-US" w:eastAsia="zh-CN"/>
        </w:rPr>
      </w:pPr>
      <w:r>
        <w:rPr>
          <w:rFonts w:hint="eastAsia" w:ascii="仿宋" w:hAnsi="仿宋" w:eastAsia="仿宋"/>
          <w:b w:val="0"/>
          <w:bCs w:val="0"/>
          <w:color w:val="auto"/>
          <w:sz w:val="32"/>
          <w:szCs w:val="32"/>
          <w:lang w:eastAsia="zh-CN"/>
        </w:rPr>
        <w:t>截止</w:t>
      </w:r>
      <w:r>
        <w:rPr>
          <w:rFonts w:hint="eastAsia" w:ascii="仿宋" w:hAnsi="仿宋" w:eastAsia="仿宋"/>
          <w:b w:val="0"/>
          <w:bCs w:val="0"/>
          <w:color w:val="auto"/>
          <w:sz w:val="32"/>
          <w:szCs w:val="32"/>
          <w:lang w:val="en-US" w:eastAsia="zh-CN"/>
        </w:rPr>
        <w:t>2021年12月31日，本单位共有车辆 4 辆，其中：一般公务用车 0 辆，一般执法执勤用车 0 辆，特种专业技术用车 0辆，其他用车 4 辆；办公用房2887 平方米，价值 233.94 万元；单价50万元（含）以上的通用设备0台（套）;单价100万元（含）以上的专用设备 0 台（套）。</w:t>
      </w:r>
    </w:p>
    <w:p>
      <w:pPr>
        <w:keepNext w:val="0"/>
        <w:keepLines w:val="0"/>
        <w:pageBreakBefore w:val="0"/>
        <w:numPr>
          <w:ilvl w:val="0"/>
          <w:numId w:val="1"/>
        </w:numPr>
        <w:kinsoku/>
        <w:wordWrap/>
        <w:overflowPunct/>
        <w:topLinePunct w:val="0"/>
        <w:autoSpaceDE/>
        <w:autoSpaceDN/>
        <w:bidi w:val="0"/>
        <w:adjustRightInd/>
        <w:snapToGrid/>
        <w:ind w:firstLine="645"/>
        <w:jc w:val="both"/>
        <w:rPr>
          <w:rFonts w:hint="eastAsia" w:ascii="仿宋" w:hAnsi="仿宋" w:eastAsia="仿宋"/>
          <w:b/>
          <w:bCs/>
          <w:sz w:val="32"/>
          <w:szCs w:val="32"/>
          <w:lang w:eastAsia="zh-CN"/>
        </w:rPr>
      </w:pPr>
      <w:r>
        <w:rPr>
          <w:rFonts w:hint="eastAsia" w:ascii="仿宋" w:hAnsi="仿宋" w:eastAsia="仿宋"/>
          <w:b/>
          <w:bCs/>
          <w:sz w:val="32"/>
          <w:szCs w:val="32"/>
          <w:lang w:eastAsia="zh-CN"/>
        </w:rPr>
        <w:t>预算绩效情况说明</w:t>
      </w:r>
    </w:p>
    <w:p>
      <w:pPr>
        <w:keepNext w:val="0"/>
        <w:keepLines w:val="0"/>
        <w:pageBreakBefore w:val="0"/>
        <w:kinsoku/>
        <w:wordWrap/>
        <w:overflowPunct/>
        <w:topLinePunct w:val="0"/>
        <w:autoSpaceDE/>
        <w:autoSpaceDN/>
        <w:bidi w:val="0"/>
        <w:adjustRightInd/>
        <w:snapToGrid/>
        <w:ind w:firstLine="645"/>
        <w:jc w:val="both"/>
        <w:rPr>
          <w:rFonts w:hint="default" w:ascii="仿宋" w:hAnsi="仿宋" w:eastAsia="仿宋" w:cs="Times New Roman"/>
          <w:sz w:val="32"/>
          <w:szCs w:val="32"/>
          <w:lang w:val="en-US" w:eastAsia="zh-CN"/>
        </w:rPr>
      </w:pPr>
      <w:r>
        <w:rPr>
          <w:rFonts w:hint="eastAsia" w:ascii="仿宋" w:hAnsi="仿宋" w:eastAsia="仿宋" w:cs="Times New Roman"/>
          <w:sz w:val="32"/>
          <w:szCs w:val="32"/>
          <w:lang w:eastAsia="zh-CN"/>
        </w:rPr>
        <w:t>根据预算绩效管理要求，我</w:t>
      </w:r>
      <w:r>
        <w:rPr>
          <w:rFonts w:hint="eastAsia" w:ascii="仿宋" w:hAnsi="仿宋" w:eastAsia="仿宋" w:cs="Times New Roman"/>
          <w:sz w:val="32"/>
          <w:szCs w:val="32"/>
          <w:lang w:val="en-US" w:eastAsia="zh-CN"/>
        </w:rPr>
        <w:t>单位</w:t>
      </w:r>
      <w:r>
        <w:rPr>
          <w:rFonts w:hint="eastAsia" w:ascii="仿宋" w:hAnsi="仿宋" w:eastAsia="仿宋" w:cs="Times New Roman"/>
          <w:sz w:val="32"/>
          <w:szCs w:val="32"/>
          <w:lang w:eastAsia="zh-CN"/>
        </w:rPr>
        <w:t>组织对 2021 年度财政预算安排的</w:t>
      </w:r>
      <w:r>
        <w:rPr>
          <w:rFonts w:hint="eastAsia" w:ascii="仿宋" w:hAnsi="仿宋" w:eastAsia="仿宋" w:cs="Times New Roman"/>
          <w:sz w:val="32"/>
          <w:szCs w:val="32"/>
          <w:lang w:val="en-US" w:eastAsia="zh-CN"/>
        </w:rPr>
        <w:t>11</w:t>
      </w:r>
      <w:r>
        <w:rPr>
          <w:rFonts w:hint="eastAsia" w:ascii="仿宋" w:hAnsi="仿宋" w:eastAsia="仿宋" w:cs="Times New Roman"/>
          <w:sz w:val="32"/>
          <w:szCs w:val="32"/>
          <w:lang w:eastAsia="zh-CN"/>
        </w:rPr>
        <w:t>个项目支出</w:t>
      </w:r>
      <w:r>
        <w:rPr>
          <w:rFonts w:hint="eastAsia" w:ascii="仿宋" w:hAnsi="仿宋" w:eastAsia="仿宋" w:cs="Times New Roman"/>
          <w:sz w:val="32"/>
          <w:szCs w:val="32"/>
          <w:lang w:val="en-US" w:eastAsia="zh-CN"/>
        </w:rPr>
        <w:t>进行</w:t>
      </w:r>
      <w:r>
        <w:rPr>
          <w:rFonts w:hint="eastAsia" w:ascii="仿宋" w:hAnsi="仿宋" w:eastAsia="仿宋" w:cs="Times New Roman"/>
          <w:sz w:val="32"/>
          <w:szCs w:val="32"/>
          <w:lang w:eastAsia="zh-CN"/>
        </w:rPr>
        <w:t>绩效自评，涉及预算资金</w:t>
      </w:r>
      <w:r>
        <w:rPr>
          <w:rFonts w:hint="eastAsia" w:ascii="仿宋" w:hAnsi="仿宋" w:eastAsia="仿宋" w:cs="Times New Roman"/>
          <w:color w:val="auto"/>
          <w:sz w:val="32"/>
          <w:szCs w:val="32"/>
          <w:u w:val="none"/>
          <w:lang w:val="en-US" w:eastAsia="zh-CN"/>
        </w:rPr>
        <w:t xml:space="preserve">204.97 </w:t>
      </w:r>
      <w:r>
        <w:rPr>
          <w:rFonts w:hint="eastAsia" w:ascii="仿宋" w:hAnsi="仿宋" w:eastAsia="仿宋" w:cs="Times New Roman"/>
          <w:color w:val="auto"/>
          <w:sz w:val="32"/>
          <w:szCs w:val="32"/>
          <w:lang w:eastAsia="zh-CN"/>
        </w:rPr>
        <w:t>万</w:t>
      </w:r>
      <w:r>
        <w:rPr>
          <w:rFonts w:hint="eastAsia" w:ascii="仿宋" w:hAnsi="仿宋" w:eastAsia="仿宋" w:cs="Times New Roman"/>
          <w:sz w:val="32"/>
          <w:szCs w:val="32"/>
          <w:lang w:eastAsia="zh-CN"/>
        </w:rPr>
        <w:t>元，占一般公共预算项目支出总额的</w:t>
      </w:r>
      <w:r>
        <w:rPr>
          <w:rFonts w:hint="eastAsia" w:ascii="仿宋" w:hAnsi="仿宋" w:eastAsia="仿宋" w:cs="Times New Roman"/>
          <w:sz w:val="32"/>
          <w:szCs w:val="32"/>
          <w:lang w:val="en-US" w:eastAsia="zh-CN"/>
        </w:rPr>
        <w:t>32.24</w:t>
      </w:r>
      <w:r>
        <w:rPr>
          <w:rFonts w:hint="eastAsia" w:ascii="仿宋" w:hAnsi="仿宋" w:eastAsia="仿宋" w:cs="Times New Roman"/>
          <w:sz w:val="32"/>
          <w:szCs w:val="32"/>
          <w:lang w:eastAsia="zh-CN"/>
        </w:rPr>
        <w:t>%；从评价</w:t>
      </w:r>
      <w:r>
        <w:rPr>
          <w:rFonts w:hint="eastAsia" w:ascii="仿宋" w:hAnsi="仿宋" w:eastAsia="仿宋" w:cs="Times New Roman"/>
          <w:sz w:val="32"/>
          <w:szCs w:val="32"/>
          <w:lang w:val="en-US" w:eastAsia="zh-CN"/>
        </w:rPr>
        <w:t>结果</w:t>
      </w:r>
      <w:r>
        <w:rPr>
          <w:rFonts w:hint="eastAsia" w:ascii="仿宋" w:hAnsi="仿宋" w:eastAsia="仿宋" w:cs="Times New Roman"/>
          <w:sz w:val="32"/>
          <w:szCs w:val="32"/>
          <w:lang w:eastAsia="zh-CN"/>
        </w:rPr>
        <w:t>看，各项目基本按实施方案进行实施，完成</w:t>
      </w:r>
      <w:r>
        <w:rPr>
          <w:rFonts w:hint="eastAsia" w:ascii="仿宋" w:hAnsi="仿宋" w:eastAsia="仿宋" w:cs="Times New Roman"/>
          <w:sz w:val="32"/>
          <w:szCs w:val="32"/>
          <w:lang w:val="en-US" w:eastAsia="zh-CN"/>
        </w:rPr>
        <w:t>情况</w:t>
      </w:r>
      <w:r>
        <w:rPr>
          <w:rFonts w:hint="eastAsia" w:ascii="仿宋" w:hAnsi="仿宋" w:eastAsia="仿宋" w:cs="Times New Roman"/>
          <w:sz w:val="32"/>
          <w:szCs w:val="32"/>
          <w:lang w:eastAsia="zh-CN"/>
        </w:rPr>
        <w:t>较好，项目实施达到了预期目标；项目资金使用比较合规、有效；取得了较明显的经济效益及公共效</w:t>
      </w:r>
      <w:bookmarkStart w:id="0" w:name="_GoBack"/>
      <w:bookmarkEnd w:id="0"/>
      <w:r>
        <w:rPr>
          <w:rFonts w:hint="eastAsia" w:ascii="仿宋" w:hAnsi="仿宋" w:eastAsia="仿宋" w:cs="Times New Roman"/>
          <w:sz w:val="32"/>
          <w:szCs w:val="32"/>
          <w:lang w:eastAsia="zh-CN"/>
        </w:rPr>
        <w:t>益；</w:t>
      </w:r>
      <w:r>
        <w:rPr>
          <w:rFonts w:hint="eastAsia" w:ascii="仿宋" w:hAnsi="仿宋" w:eastAsia="仿宋" w:cs="Times New Roman"/>
          <w:sz w:val="32"/>
          <w:szCs w:val="32"/>
          <w:lang w:val="en-US" w:eastAsia="zh-CN"/>
        </w:rPr>
        <w:t>我单位完成整体支出自评，涉及金额</w:t>
      </w:r>
      <w:r>
        <w:rPr>
          <w:rFonts w:hint="eastAsia" w:ascii="仿宋" w:hAnsi="仿宋" w:eastAsia="仿宋"/>
          <w:color w:val="auto"/>
          <w:sz w:val="32"/>
          <w:szCs w:val="32"/>
          <w:lang w:val="en-US" w:eastAsia="zh-CN"/>
        </w:rPr>
        <w:t>757.22</w:t>
      </w:r>
      <w:r>
        <w:rPr>
          <w:rFonts w:hint="eastAsia" w:ascii="仿宋" w:hAnsi="仿宋" w:eastAsia="仿宋" w:cs="Times New Roman"/>
          <w:sz w:val="32"/>
          <w:szCs w:val="32"/>
          <w:lang w:val="en-US" w:eastAsia="zh-CN"/>
        </w:rPr>
        <w:t>万元；全面完成了年初计划，完成县委政府安排的各项工作。</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cs="Times New Roman"/>
          <w:sz w:val="32"/>
          <w:szCs w:val="32"/>
          <w:lang w:eastAsia="zh-CN"/>
        </w:rPr>
      </w:pPr>
      <w:r>
        <w:rPr>
          <w:rFonts w:hint="eastAsia" w:ascii="仿宋" w:hAnsi="仿宋" w:eastAsia="仿宋" w:cs="Times New Roman"/>
          <w:sz w:val="32"/>
          <w:szCs w:val="32"/>
          <w:lang w:val="en-US" w:eastAsia="zh-CN"/>
        </w:rPr>
        <w:t>附件：项目支出</w:t>
      </w:r>
      <w:r>
        <w:rPr>
          <w:rFonts w:hint="eastAsia" w:ascii="仿宋" w:hAnsi="仿宋" w:eastAsia="仿宋" w:cs="Times New Roman"/>
          <w:sz w:val="32"/>
          <w:szCs w:val="32"/>
          <w:lang w:eastAsia="zh-CN"/>
        </w:rPr>
        <w:t>绩效自评价评分表、</w:t>
      </w:r>
      <w:r>
        <w:rPr>
          <w:rFonts w:hint="eastAsia" w:ascii="仿宋" w:hAnsi="仿宋" w:eastAsia="仿宋" w:cs="Times New Roman"/>
          <w:sz w:val="32"/>
          <w:szCs w:val="32"/>
          <w:lang w:val="en-US" w:eastAsia="zh-CN"/>
        </w:rPr>
        <w:t>整体支出自评价评分表</w:t>
      </w:r>
      <w:r>
        <w:rPr>
          <w:rFonts w:hint="eastAsia" w:ascii="仿宋" w:hAnsi="仿宋" w:eastAsia="仿宋" w:cs="Times New Roman"/>
          <w:sz w:val="32"/>
          <w:szCs w:val="32"/>
          <w:lang w:eastAsia="zh-CN"/>
        </w:rPr>
        <w:t>（详见附件三）</w:t>
      </w:r>
    </w:p>
    <w:p>
      <w:pPr>
        <w:rPr>
          <w:rFonts w:hint="default"/>
          <w:lang w:val="en-US" w:eastAsia="zh-CN"/>
        </w:rPr>
      </w:pPr>
      <w:r>
        <w:rPr>
          <w:rFonts w:hint="eastAsia"/>
          <w:lang w:val="en-US" w:eastAsia="zh-CN"/>
        </w:rPr>
        <w:t xml:space="preserve">     </w:t>
      </w:r>
      <w:r>
        <w:rPr>
          <w:rFonts w:hint="eastAsia" w:ascii="仿宋" w:hAnsi="仿宋" w:eastAsia="仿宋" w:cs="Times New Roman"/>
          <w:sz w:val="32"/>
          <w:szCs w:val="32"/>
          <w:lang w:val="en-US" w:eastAsia="zh-CN"/>
        </w:rPr>
        <w:t>县财政局组织第三方中介机构对我单位重点财政支出项目评价0个，涉及资金0万元，评价等级为“”；对我单位部门整体支出进行了评价，涉及资金0万元，评价等级为“”。</w:t>
      </w:r>
    </w:p>
    <w:p>
      <w:pPr>
        <w:keepNext w:val="0"/>
        <w:keepLines w:val="0"/>
        <w:widowControl/>
        <w:suppressLineNumbers w:val="0"/>
        <w:ind w:firstLine="622" w:firstLineChars="200"/>
        <w:jc w:val="left"/>
      </w:pPr>
      <w:r>
        <w:rPr>
          <w:rFonts w:ascii="仿宋" w:hAnsi="仿宋" w:eastAsia="仿宋" w:cs="仿宋"/>
          <w:b/>
          <w:bCs/>
          <w:color w:val="000000"/>
          <w:kern w:val="0"/>
          <w:sz w:val="31"/>
          <w:szCs w:val="31"/>
          <w:lang w:val="en-US" w:eastAsia="zh-CN" w:bidi="ar"/>
        </w:rPr>
        <w:t xml:space="preserve">（五）其他需要说明的事项 </w:t>
      </w:r>
    </w:p>
    <w:p>
      <w:pPr>
        <w:pStyle w:val="2"/>
        <w:jc w:val="both"/>
        <w:rPr>
          <w:rFonts w:hint="eastAsia"/>
        </w:rPr>
      </w:pPr>
      <w:r>
        <w:rPr>
          <w:rFonts w:hint="eastAsia" w:ascii="仿宋" w:hAnsi="仿宋" w:eastAsia="仿宋" w:cs="仿宋"/>
          <w:color w:val="000000"/>
          <w:kern w:val="0"/>
          <w:sz w:val="31"/>
          <w:szCs w:val="31"/>
          <w:lang w:val="en-US" w:eastAsia="zh-CN" w:bidi="ar"/>
        </w:rPr>
        <w:t>无</w:t>
      </w:r>
    </w:p>
    <w:p>
      <w:pPr>
        <w:keepNext w:val="0"/>
        <w:keepLines w:val="0"/>
        <w:pageBreakBefore w:val="0"/>
        <w:kinsoku/>
        <w:wordWrap/>
        <w:overflowPunct/>
        <w:topLinePunct w:val="0"/>
        <w:autoSpaceDE/>
        <w:autoSpaceDN/>
        <w:bidi w:val="0"/>
        <w:adjustRightInd/>
        <w:spacing w:line="660" w:lineRule="exact"/>
        <w:jc w:val="center"/>
        <w:textAlignment w:val="auto"/>
        <w:rPr>
          <w:rFonts w:hint="eastAsia" w:ascii="仿宋" w:hAnsi="仿宋" w:eastAsia="仿宋"/>
          <w:b/>
          <w:bCs/>
          <w:color w:val="auto"/>
          <w:sz w:val="32"/>
          <w:szCs w:val="32"/>
        </w:rPr>
      </w:pPr>
    </w:p>
    <w:p>
      <w:pPr>
        <w:keepNext w:val="0"/>
        <w:keepLines w:val="0"/>
        <w:pageBreakBefore w:val="0"/>
        <w:kinsoku/>
        <w:wordWrap/>
        <w:overflowPunct/>
        <w:topLinePunct w:val="0"/>
        <w:autoSpaceDE/>
        <w:autoSpaceDN/>
        <w:bidi w:val="0"/>
        <w:adjustRightInd/>
        <w:spacing w:line="660" w:lineRule="exact"/>
        <w:jc w:val="center"/>
        <w:textAlignment w:val="auto"/>
        <w:rPr>
          <w:rFonts w:ascii="仿宋" w:hAnsi="仿宋" w:eastAsia="仿宋"/>
          <w:b/>
          <w:bCs/>
          <w:color w:val="auto"/>
          <w:sz w:val="32"/>
          <w:szCs w:val="32"/>
        </w:rPr>
      </w:pPr>
      <w:r>
        <w:rPr>
          <w:rFonts w:hint="eastAsia" w:ascii="仿宋" w:hAnsi="仿宋" w:eastAsia="仿宋"/>
          <w:b/>
          <w:bCs/>
          <w:color w:val="auto"/>
          <w:sz w:val="32"/>
          <w:szCs w:val="32"/>
        </w:rPr>
        <w:t>第四部分 名词解释</w:t>
      </w:r>
    </w:p>
    <w:p>
      <w:pPr>
        <w:keepNext w:val="0"/>
        <w:keepLines w:val="0"/>
        <w:pageBreakBefore w:val="0"/>
        <w:kinsoku/>
        <w:wordWrap/>
        <w:overflowPunct/>
        <w:topLinePunct w:val="0"/>
        <w:autoSpaceDE/>
        <w:autoSpaceDN/>
        <w:bidi w:val="0"/>
        <w:adjustRightInd/>
        <w:spacing w:line="660" w:lineRule="exact"/>
        <w:ind w:firstLine="640" w:firstLineChars="200"/>
        <w:textAlignment w:val="auto"/>
        <w:rPr>
          <w:rFonts w:hint="eastAsia" w:ascii="仿宋" w:hAnsi="仿宋" w:eastAsia="仿宋"/>
          <w:color w:val="auto"/>
          <w:sz w:val="32"/>
          <w:szCs w:val="32"/>
          <w:lang w:eastAsia="zh-CN"/>
        </w:rPr>
      </w:pPr>
      <w:r>
        <w:rPr>
          <w:rFonts w:ascii="仿宋" w:hAnsi="仿宋" w:eastAsia="仿宋"/>
          <w:color w:val="auto"/>
          <w:sz w:val="32"/>
          <w:szCs w:val="32"/>
        </w:rPr>
        <w:t>财政预算也称为公共财政预算，是指政府的基本财政收支计划，是按照一定的标准将财政收入和财政支出分门别类地列入特定的收支分类表格之中，以清楚反映政府的财政收支状况。透过公共财政预算，可以使人们了解政府活动的范围和方向，也可以体现政府政策意图和目标。</w:t>
      </w:r>
    </w:p>
    <w:p>
      <w:pPr>
        <w:keepNext w:val="0"/>
        <w:keepLines w:val="0"/>
        <w:pageBreakBefore w:val="0"/>
        <w:kinsoku/>
        <w:wordWrap/>
        <w:overflowPunct/>
        <w:topLinePunct w:val="0"/>
        <w:autoSpaceDE/>
        <w:autoSpaceDN/>
        <w:bidi w:val="0"/>
        <w:adjustRightInd/>
        <w:spacing w:line="660" w:lineRule="exact"/>
        <w:ind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rPr>
        <w:t>财政预算由一般财政收入和财政预算支出组成。财政预算收入主要是指部门及所属事业单位取得的财政拨款、事业收入、事业单位经营收入、其他收入等；财政预算支出是指部门及所属事业单位的行政经费、各项事业经费、社会保障支出、基本建设支出、挖潜改造支出、科技三项费用及其他支出。而基金预算收入是指部门按照政策规定取得的基金收入。基金预算支出是指部门按照政策规定从基金中开支的各项支出。</w:t>
      </w:r>
    </w:p>
    <w:p>
      <w:pPr>
        <w:keepNext w:val="0"/>
        <w:keepLines w:val="0"/>
        <w:pageBreakBefore w:val="0"/>
        <w:kinsoku/>
        <w:wordWrap/>
        <w:overflowPunct/>
        <w:topLinePunct w:val="0"/>
        <w:autoSpaceDE/>
        <w:autoSpaceDN/>
        <w:bidi w:val="0"/>
        <w:adjustRightInd/>
        <w:spacing w:line="66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工资福利支出</w:t>
      </w:r>
      <w:r>
        <w:rPr>
          <w:rFonts w:hint="eastAsia" w:ascii="仿宋" w:hAnsi="仿宋" w:eastAsia="仿宋"/>
          <w:color w:val="auto"/>
          <w:sz w:val="32"/>
          <w:szCs w:val="32"/>
          <w:lang w:eastAsia="zh-CN"/>
        </w:rPr>
        <w:t>：</w:t>
      </w:r>
      <w:r>
        <w:rPr>
          <w:rFonts w:hint="eastAsia" w:ascii="仿宋" w:hAnsi="仿宋" w:eastAsia="仿宋"/>
          <w:color w:val="auto"/>
          <w:sz w:val="32"/>
          <w:szCs w:val="32"/>
        </w:rPr>
        <w:t>反映单位开支的在职职工和临时聘用人员的各类劳动报酬，以及为上述人员缴纳的各项社会保险费等。其下设款级科目包括：基本工资、津贴补贴、奖金、社会保障缴费、伙食费、伙食补助费、其他工资福利支出。</w:t>
      </w:r>
    </w:p>
    <w:p>
      <w:pPr>
        <w:keepNext w:val="0"/>
        <w:keepLines w:val="0"/>
        <w:pageBreakBefore w:val="0"/>
        <w:kinsoku/>
        <w:wordWrap/>
        <w:overflowPunct/>
        <w:topLinePunct w:val="0"/>
        <w:autoSpaceDE/>
        <w:autoSpaceDN/>
        <w:bidi w:val="0"/>
        <w:adjustRightInd/>
        <w:spacing w:line="660" w:lineRule="exact"/>
        <w:ind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rPr>
        <w:t>商品和服务支出</w:t>
      </w:r>
      <w:r>
        <w:rPr>
          <w:rFonts w:hint="eastAsia" w:ascii="仿宋" w:hAnsi="仿宋" w:eastAsia="仿宋"/>
          <w:color w:val="auto"/>
          <w:sz w:val="32"/>
          <w:szCs w:val="32"/>
          <w:lang w:eastAsia="zh-CN"/>
        </w:rPr>
        <w:t>：</w:t>
      </w:r>
      <w:r>
        <w:rPr>
          <w:rFonts w:hint="eastAsia" w:ascii="仿宋" w:hAnsi="仿宋" w:eastAsia="仿宋"/>
          <w:color w:val="auto"/>
          <w:sz w:val="32"/>
          <w:szCs w:val="32"/>
        </w:rPr>
        <w:t>反映单位购买商品和服务的各项支出，不包括用于购置固定资产的支出、战略性和应急储备支出，但军事方面的耐用消费品和设备的购置费、军事性建设费以及军事建筑物的购置费等在本科目中反映。</w:t>
      </w:r>
    </w:p>
    <w:p>
      <w:pPr>
        <w:keepNext w:val="0"/>
        <w:keepLines w:val="0"/>
        <w:pageBreakBefore w:val="0"/>
        <w:kinsoku/>
        <w:wordWrap/>
        <w:overflowPunct/>
        <w:topLinePunct w:val="0"/>
        <w:autoSpaceDE/>
        <w:autoSpaceDN/>
        <w:bidi w:val="0"/>
        <w:adjustRightInd/>
        <w:spacing w:line="660" w:lineRule="exact"/>
        <w:ind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rPr>
        <w:t>对个人和家庭的补助</w:t>
      </w:r>
      <w:r>
        <w:rPr>
          <w:rFonts w:hint="eastAsia" w:ascii="仿宋" w:hAnsi="仿宋" w:eastAsia="仿宋"/>
          <w:color w:val="auto"/>
          <w:sz w:val="32"/>
          <w:szCs w:val="32"/>
          <w:lang w:eastAsia="zh-CN"/>
        </w:rPr>
        <w:t>：</w:t>
      </w:r>
      <w:r>
        <w:rPr>
          <w:rFonts w:hint="eastAsia" w:ascii="仿宋" w:hAnsi="仿宋" w:eastAsia="仿宋"/>
          <w:color w:val="auto"/>
          <w:sz w:val="32"/>
          <w:szCs w:val="32"/>
        </w:rPr>
        <w:t>反映政府用于对个人和家庭补助方面的支出，其下设款级科目包括：离休费、退休费、退职（役）费、抚恤金、生活补助、救济费、医疗费、助学金、奖励金、生产补贴、离退休人员提租补贴、离退休人员购房补贴、其他对个人和家庭的补助支出。</w:t>
      </w:r>
    </w:p>
    <w:p>
      <w:pPr>
        <w:keepNext w:val="0"/>
        <w:keepLines w:val="0"/>
        <w:pageBreakBefore w:val="0"/>
        <w:kinsoku/>
        <w:wordWrap/>
        <w:overflowPunct/>
        <w:topLinePunct w:val="0"/>
        <w:autoSpaceDE/>
        <w:autoSpaceDN/>
        <w:bidi w:val="0"/>
        <w:adjustRightInd/>
        <w:spacing w:line="66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办公费：反映单位购买按财务会计制度规定不符合固定资产确认标准的日常办公用品、书报杂志等支出。</w:t>
      </w:r>
    </w:p>
    <w:p>
      <w:pPr>
        <w:keepNext w:val="0"/>
        <w:keepLines w:val="0"/>
        <w:pageBreakBefore w:val="0"/>
        <w:kinsoku/>
        <w:wordWrap/>
        <w:overflowPunct/>
        <w:topLinePunct w:val="0"/>
        <w:autoSpaceDE/>
        <w:autoSpaceDN/>
        <w:bidi w:val="0"/>
        <w:adjustRightInd/>
        <w:spacing w:line="660" w:lineRule="exact"/>
        <w:ind w:firstLine="640" w:firstLineChars="200"/>
        <w:textAlignment w:val="auto"/>
        <w:rPr>
          <w:rFonts w:ascii="仿宋" w:hAnsi="仿宋" w:eastAsia="仿宋"/>
          <w:color w:val="auto"/>
          <w:sz w:val="32"/>
          <w:szCs w:val="32"/>
        </w:rPr>
      </w:pPr>
      <w:r>
        <w:rPr>
          <w:rFonts w:ascii="仿宋" w:hAnsi="仿宋" w:eastAsia="仿宋"/>
          <w:color w:val="auto"/>
          <w:sz w:val="32"/>
          <w:szCs w:val="32"/>
        </w:rPr>
        <w:t>邮电费</w:t>
      </w:r>
      <w:r>
        <w:rPr>
          <w:rFonts w:hint="eastAsia" w:ascii="仿宋" w:hAnsi="仿宋" w:eastAsia="仿宋"/>
          <w:color w:val="auto"/>
          <w:sz w:val="32"/>
          <w:szCs w:val="32"/>
        </w:rPr>
        <w:t>：反映单位开支的信函、包裹、货物等物品的邮寄费及电话费、传真费、网络通讯费等。</w:t>
      </w:r>
    </w:p>
    <w:p>
      <w:pPr>
        <w:keepNext w:val="0"/>
        <w:keepLines w:val="0"/>
        <w:pageBreakBefore w:val="0"/>
        <w:kinsoku/>
        <w:wordWrap/>
        <w:overflowPunct/>
        <w:topLinePunct w:val="0"/>
        <w:autoSpaceDE/>
        <w:autoSpaceDN/>
        <w:bidi w:val="0"/>
        <w:adjustRightInd/>
        <w:spacing w:line="66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会议费：反映会议中按规定开支的房租费、伙食补助费以及文件资料的印刷费、会议场地租用费等。</w:t>
      </w:r>
    </w:p>
    <w:p>
      <w:pPr>
        <w:keepNext w:val="0"/>
        <w:keepLines w:val="0"/>
        <w:pageBreakBefore w:val="0"/>
        <w:kinsoku/>
        <w:wordWrap/>
        <w:overflowPunct/>
        <w:topLinePunct w:val="0"/>
        <w:autoSpaceDE/>
        <w:autoSpaceDN/>
        <w:bidi w:val="0"/>
        <w:adjustRightInd/>
        <w:spacing w:line="66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公务接待费：反映单位按规定开支的各类公务接待（含外宾接待）费用。</w:t>
      </w:r>
    </w:p>
    <w:p>
      <w:pPr>
        <w:keepNext w:val="0"/>
        <w:keepLines w:val="0"/>
        <w:pageBreakBefore w:val="0"/>
        <w:kinsoku/>
        <w:wordWrap/>
        <w:overflowPunct/>
        <w:topLinePunct w:val="0"/>
        <w:autoSpaceDE/>
        <w:autoSpaceDN/>
        <w:bidi w:val="0"/>
        <w:adjustRightInd/>
        <w:spacing w:line="66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公务用车运行维护费：反映单位公务用车的租用费、燃料费、维修费、过桥过路费、保险费、安全奖励费用等。</w:t>
      </w:r>
    </w:p>
    <w:p>
      <w:pPr>
        <w:keepNext w:val="0"/>
        <w:keepLines w:val="0"/>
        <w:pageBreakBefore w:val="0"/>
        <w:kinsoku/>
        <w:wordWrap/>
        <w:overflowPunct/>
        <w:topLinePunct w:val="0"/>
        <w:autoSpaceDE/>
        <w:autoSpaceDN/>
        <w:bidi w:val="0"/>
        <w:adjustRightInd/>
        <w:spacing w:line="660" w:lineRule="exact"/>
        <w:ind w:firstLine="640" w:firstLineChars="200"/>
        <w:textAlignment w:val="auto"/>
        <w:rPr>
          <w:rFonts w:hint="eastAsia" w:ascii="仿宋" w:hAnsi="仿宋" w:eastAsia="仿宋" w:cs="宋体"/>
          <w:color w:val="auto"/>
          <w:sz w:val="32"/>
          <w:szCs w:val="32"/>
          <w:lang w:eastAsia="zh-CN"/>
        </w:rPr>
      </w:pPr>
      <w:r>
        <w:rPr>
          <w:rFonts w:hint="eastAsia" w:ascii="仿宋" w:hAnsi="仿宋" w:eastAsia="仿宋" w:cs="宋体"/>
          <w:color w:val="auto"/>
          <w:sz w:val="32"/>
          <w:szCs w:val="32"/>
        </w:rPr>
        <w:t>房屋建筑物购建：反映用于购买、自行建造办公用房、仓库、职工生活用房、食堂等建筑物（含附属设施，如电梯、通讯线路、水气管道等）的支出。开工时必须有工程预算书和施工协议，完工时必须有审计局签章的竣工决算报告书、建筑安装业的税务发票。同时，作固定资产增加的账务处理。</w:t>
      </w:r>
    </w:p>
    <w:p>
      <w:pPr>
        <w:keepNext w:val="0"/>
        <w:keepLines w:val="0"/>
        <w:pageBreakBefore w:val="0"/>
        <w:kinsoku/>
        <w:wordWrap/>
        <w:overflowPunct/>
        <w:topLinePunct w:val="0"/>
        <w:autoSpaceDE/>
        <w:autoSpaceDN/>
        <w:bidi w:val="0"/>
        <w:adjustRightInd/>
        <w:spacing w:line="660" w:lineRule="exact"/>
        <w:ind w:firstLine="640" w:firstLineChars="200"/>
        <w:textAlignment w:val="auto"/>
        <w:rPr>
          <w:rFonts w:hint="eastAsia" w:ascii="仿宋" w:hAnsi="仿宋" w:eastAsia="仿宋" w:cs="宋体"/>
          <w:color w:val="auto"/>
          <w:sz w:val="32"/>
          <w:szCs w:val="32"/>
          <w:lang w:eastAsia="zh-CN"/>
        </w:rPr>
      </w:pPr>
      <w:r>
        <w:rPr>
          <w:rFonts w:hint="eastAsia" w:ascii="宋体" w:hAnsi="宋体" w:eastAsia="仿宋" w:cs="宋体"/>
          <w:color w:val="auto"/>
          <w:sz w:val="32"/>
          <w:szCs w:val="32"/>
        </w:rPr>
        <w:t>  </w:t>
      </w:r>
      <w:r>
        <w:rPr>
          <w:rFonts w:hint="eastAsia" w:ascii="仿宋" w:hAnsi="仿宋" w:eastAsia="仿宋" w:cs="宋体"/>
          <w:color w:val="auto"/>
          <w:sz w:val="32"/>
          <w:szCs w:val="32"/>
        </w:rPr>
        <w:t>办公设备的购置：反映用于购置并按财务会计制度规定纳入固定资产核算范围的办公家具和办公设备的支出。如购置空调、打印机、复印机等，必须办理政府采购手续，同时作固定资产增加的账务处理。</w:t>
      </w:r>
    </w:p>
    <w:p>
      <w:pPr>
        <w:keepNext w:val="0"/>
        <w:keepLines w:val="0"/>
        <w:pageBreakBefore w:val="0"/>
        <w:kinsoku/>
        <w:wordWrap/>
        <w:overflowPunct/>
        <w:topLinePunct w:val="0"/>
        <w:autoSpaceDE/>
        <w:autoSpaceDN/>
        <w:bidi w:val="0"/>
        <w:adjustRightInd/>
        <w:spacing w:line="660" w:lineRule="exact"/>
        <w:ind w:firstLine="640" w:firstLineChars="200"/>
        <w:textAlignment w:val="auto"/>
        <w:rPr>
          <w:rFonts w:hint="eastAsia" w:ascii="仿宋" w:hAnsi="仿宋" w:eastAsia="仿宋" w:cs="宋体"/>
          <w:color w:val="auto"/>
          <w:sz w:val="32"/>
          <w:szCs w:val="32"/>
          <w:lang w:eastAsia="zh-CN"/>
        </w:rPr>
      </w:pPr>
      <w:r>
        <w:rPr>
          <w:rFonts w:hint="eastAsia" w:ascii="宋体" w:hAnsi="宋体" w:eastAsia="仿宋" w:cs="宋体"/>
          <w:color w:val="auto"/>
          <w:sz w:val="32"/>
          <w:szCs w:val="32"/>
        </w:rPr>
        <w:t>  </w:t>
      </w:r>
      <w:r>
        <w:rPr>
          <w:rFonts w:hint="eastAsia" w:ascii="仿宋" w:hAnsi="仿宋" w:eastAsia="仿宋" w:cs="宋体"/>
          <w:color w:val="auto"/>
          <w:sz w:val="32"/>
          <w:szCs w:val="32"/>
        </w:rPr>
        <w:t>大型修缮：反映按财务会计制度规定允许资本化的各类设备、建筑物、公共基础设施等大型修缮的支出。同时，作增加固定资产的账务处理。</w:t>
      </w:r>
    </w:p>
    <w:p>
      <w:pPr>
        <w:keepNext w:val="0"/>
        <w:keepLines w:val="0"/>
        <w:pageBreakBefore w:val="0"/>
        <w:kinsoku/>
        <w:wordWrap/>
        <w:overflowPunct/>
        <w:topLinePunct w:val="0"/>
        <w:autoSpaceDE/>
        <w:autoSpaceDN/>
        <w:bidi w:val="0"/>
        <w:adjustRightInd/>
        <w:spacing w:line="660" w:lineRule="exact"/>
        <w:ind w:firstLine="640" w:firstLineChars="200"/>
        <w:textAlignment w:val="auto"/>
        <w:rPr>
          <w:rFonts w:ascii="仿宋" w:hAnsi="仿宋" w:eastAsia="仿宋" w:cs="宋体"/>
          <w:color w:val="auto"/>
          <w:sz w:val="32"/>
          <w:szCs w:val="32"/>
        </w:rPr>
      </w:pPr>
      <w:r>
        <w:rPr>
          <w:rFonts w:hint="eastAsia" w:ascii="宋体" w:hAnsi="宋体" w:eastAsia="仿宋" w:cs="宋体"/>
          <w:color w:val="auto"/>
          <w:sz w:val="32"/>
          <w:szCs w:val="32"/>
        </w:rPr>
        <w:t>  </w:t>
      </w:r>
      <w:r>
        <w:rPr>
          <w:rFonts w:hint="eastAsia" w:ascii="仿宋" w:hAnsi="仿宋" w:eastAsia="仿宋" w:cs="宋体"/>
          <w:color w:val="auto"/>
          <w:sz w:val="32"/>
          <w:szCs w:val="32"/>
        </w:rPr>
        <w:t>信息网络购建：反映政府用于信息网络方面的支出。如计算机硬件、软件购置、开发、应用支出等（如果购建的计算机硬件、软件等不符合财务会计制度规定的固定资产确认标准的，不在此科目反映）。同时，作固定资产增加的账务处理。</w:t>
      </w:r>
    </w:p>
    <w:p>
      <w:pPr>
        <w:keepNext w:val="0"/>
        <w:keepLines w:val="0"/>
        <w:pageBreakBefore w:val="0"/>
        <w:kinsoku/>
        <w:wordWrap/>
        <w:overflowPunct/>
        <w:topLinePunct w:val="0"/>
        <w:autoSpaceDE/>
        <w:autoSpaceDN/>
        <w:bidi w:val="0"/>
        <w:adjustRightInd/>
        <w:spacing w:line="660" w:lineRule="exact"/>
        <w:ind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rPr>
        <w:t>项目支出是行政事业单位为完成特定的行政工作任务和事业发展目标除正常经费以外的开支，反映单位购置固定资产、购建基础设施、大型修缮等发生的支出。</w:t>
      </w:r>
    </w:p>
    <w:p>
      <w:pPr>
        <w:keepNext w:val="0"/>
        <w:keepLines w:val="0"/>
        <w:pageBreakBefore w:val="0"/>
        <w:kinsoku/>
        <w:wordWrap/>
        <w:overflowPunct/>
        <w:topLinePunct w:val="0"/>
        <w:autoSpaceDE/>
        <w:autoSpaceDN/>
        <w:bidi w:val="0"/>
        <w:adjustRightInd/>
        <w:spacing w:line="660" w:lineRule="exact"/>
        <w:ind w:firstLine="640" w:firstLineChars="200"/>
        <w:textAlignment w:val="auto"/>
        <w:rPr>
          <w:rFonts w:hint="eastAsia" w:ascii="仿宋" w:hAnsi="仿宋" w:eastAsia="仿宋"/>
          <w:color w:val="auto"/>
          <w:sz w:val="32"/>
          <w:szCs w:val="32"/>
        </w:rPr>
      </w:pPr>
      <w:r>
        <w:rPr>
          <w:rFonts w:hint="eastAsia" w:ascii="仿宋" w:hAnsi="仿宋" w:eastAsia="仿宋"/>
          <w:b w:val="0"/>
          <w:bCs w:val="0"/>
          <w:color w:val="auto"/>
          <w:sz w:val="32"/>
          <w:szCs w:val="32"/>
          <w:lang w:val="en-US" w:eastAsia="zh-CN"/>
        </w:rPr>
        <w:t>机关运行经费与部门决算中行政单位和参照公务员法管理的事业单位一般公共预算财政拨款基本支出中公用经费之和保持一致。</w:t>
      </w:r>
    </w:p>
    <w:p>
      <w:pPr>
        <w:keepNext w:val="0"/>
        <w:keepLines w:val="0"/>
        <w:pageBreakBefore w:val="0"/>
        <w:kinsoku/>
        <w:wordWrap/>
        <w:overflowPunct/>
        <w:topLinePunct w:val="0"/>
        <w:autoSpaceDE/>
        <w:autoSpaceDN/>
        <w:bidi w:val="0"/>
        <w:adjustRightInd/>
        <w:spacing w:line="66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“三公”经费</w:t>
      </w:r>
      <w:r>
        <w:rPr>
          <w:rFonts w:ascii="仿宋" w:hAnsi="仿宋" w:eastAsia="仿宋"/>
          <w:color w:val="auto"/>
          <w:sz w:val="32"/>
          <w:szCs w:val="32"/>
        </w:rPr>
        <w:t>是指财政拨款支出安排的出国（境）费、车辆购置及运行费、公务接待费这三项经费。</w:t>
      </w:r>
    </w:p>
    <w:p>
      <w:pPr>
        <w:pStyle w:val="2"/>
        <w:rPr>
          <w:rFonts w:ascii="仿宋" w:hAnsi="仿宋" w:eastAsia="仿宋"/>
          <w:color w:val="auto"/>
          <w:sz w:val="32"/>
          <w:szCs w:val="32"/>
        </w:rPr>
      </w:pPr>
    </w:p>
    <w:p>
      <w:pPr>
        <w:rPr>
          <w:rFonts w:ascii="仿宋" w:hAnsi="仿宋" w:eastAsia="仿宋"/>
          <w:color w:val="auto"/>
          <w:sz w:val="32"/>
          <w:szCs w:val="32"/>
        </w:rPr>
      </w:pPr>
    </w:p>
    <w:p>
      <w:pPr>
        <w:pStyle w:val="2"/>
        <w:rPr>
          <w:rFonts w:ascii="仿宋" w:hAnsi="仿宋" w:eastAsia="仿宋"/>
          <w:color w:val="auto"/>
          <w:sz w:val="32"/>
          <w:szCs w:val="32"/>
        </w:rPr>
      </w:pPr>
    </w:p>
    <w:p>
      <w:pPr>
        <w:rPr>
          <w:rFonts w:ascii="仿宋" w:hAnsi="仿宋" w:eastAsia="仿宋"/>
          <w:color w:val="auto"/>
          <w:sz w:val="32"/>
          <w:szCs w:val="32"/>
        </w:rPr>
      </w:pPr>
    </w:p>
    <w:p>
      <w:pPr>
        <w:pStyle w:val="2"/>
        <w:rPr>
          <w:rFonts w:ascii="仿宋" w:hAnsi="仿宋" w:eastAsia="仿宋"/>
          <w:color w:val="auto"/>
          <w:sz w:val="32"/>
          <w:szCs w:val="32"/>
        </w:rPr>
      </w:pPr>
    </w:p>
    <w:p>
      <w:pPr>
        <w:rPr>
          <w:rFonts w:ascii="仿宋" w:hAnsi="仿宋" w:eastAsia="仿宋"/>
          <w:color w:val="auto"/>
          <w:sz w:val="32"/>
          <w:szCs w:val="32"/>
        </w:rPr>
      </w:pPr>
    </w:p>
    <w:p>
      <w:pPr>
        <w:pStyle w:val="2"/>
        <w:rPr>
          <w:rFonts w:ascii="仿宋" w:hAnsi="仿宋" w:eastAsia="仿宋"/>
          <w:color w:val="auto"/>
          <w:sz w:val="32"/>
          <w:szCs w:val="32"/>
        </w:rPr>
      </w:pPr>
    </w:p>
    <w:p>
      <w:pPr>
        <w:rPr>
          <w:rFonts w:ascii="仿宋" w:hAnsi="仿宋" w:eastAsia="仿宋"/>
          <w:color w:val="auto"/>
          <w:sz w:val="32"/>
          <w:szCs w:val="32"/>
        </w:rPr>
      </w:pPr>
    </w:p>
    <w:p>
      <w:pPr>
        <w:pStyle w:val="2"/>
        <w:rPr>
          <w:rFonts w:ascii="仿宋" w:hAnsi="仿宋" w:eastAsia="仿宋"/>
          <w:color w:val="auto"/>
          <w:sz w:val="32"/>
          <w:szCs w:val="32"/>
        </w:rPr>
      </w:pPr>
    </w:p>
    <w:p>
      <w:pPr>
        <w:rPr>
          <w:rFonts w:ascii="仿宋" w:hAnsi="仿宋" w:eastAsia="仿宋"/>
          <w:color w:val="auto"/>
          <w:sz w:val="32"/>
          <w:szCs w:val="32"/>
        </w:rPr>
      </w:pPr>
    </w:p>
    <w:p>
      <w:pPr>
        <w:pStyle w:val="2"/>
        <w:rPr>
          <w:rFonts w:ascii="仿宋" w:hAnsi="仿宋" w:eastAsia="仿宋"/>
          <w:color w:val="auto"/>
          <w:sz w:val="32"/>
          <w:szCs w:val="32"/>
        </w:rPr>
      </w:pPr>
    </w:p>
    <w:p>
      <w:pPr>
        <w:pStyle w:val="2"/>
        <w:jc w:val="both"/>
        <w:rPr>
          <w:rFonts w:ascii="仿宋" w:hAnsi="仿宋" w:eastAsia="仿宋"/>
          <w:color w:val="auto"/>
          <w:sz w:val="32"/>
          <w:szCs w:val="32"/>
        </w:rPr>
      </w:pPr>
    </w:p>
    <w:p>
      <w:pPr>
        <w:rPr>
          <w:rFonts w:hint="eastAsia" w:eastAsia="仿宋"/>
          <w:lang w:eastAsia="zh-CN"/>
        </w:rPr>
      </w:pPr>
      <w:r>
        <w:rPr>
          <w:rFonts w:hint="eastAsia" w:ascii="仿宋" w:hAnsi="仿宋" w:eastAsia="仿宋"/>
          <w:color w:val="auto"/>
          <w:sz w:val="32"/>
          <w:szCs w:val="32"/>
          <w:lang w:eastAsia="zh-CN"/>
        </w:rPr>
        <w:t>附件三</w:t>
      </w:r>
    </w:p>
    <w:tbl>
      <w:tblPr>
        <w:tblStyle w:val="3"/>
        <w:tblW w:w="9513" w:type="dxa"/>
        <w:tblInd w:w="93" w:type="dxa"/>
        <w:tblLayout w:type="autofit"/>
        <w:tblCellMar>
          <w:top w:w="0" w:type="dxa"/>
          <w:left w:w="108" w:type="dxa"/>
          <w:bottom w:w="0" w:type="dxa"/>
          <w:right w:w="108" w:type="dxa"/>
        </w:tblCellMar>
      </w:tblPr>
      <w:tblGrid>
        <w:gridCol w:w="457"/>
        <w:gridCol w:w="692"/>
        <w:gridCol w:w="567"/>
        <w:gridCol w:w="567"/>
        <w:gridCol w:w="1133"/>
        <w:gridCol w:w="669"/>
        <w:gridCol w:w="1512"/>
        <w:gridCol w:w="3916"/>
      </w:tblGrid>
      <w:tr>
        <w:tblPrEx>
          <w:tblCellMar>
            <w:top w:w="0" w:type="dxa"/>
            <w:left w:w="108" w:type="dxa"/>
            <w:bottom w:w="0" w:type="dxa"/>
            <w:right w:w="108" w:type="dxa"/>
          </w:tblCellMar>
        </w:tblPrEx>
        <w:trPr>
          <w:trHeight w:val="600" w:hRule="atLeast"/>
        </w:trPr>
        <w:tc>
          <w:tcPr>
            <w:tcW w:w="9513" w:type="dxa"/>
            <w:gridSpan w:val="8"/>
            <w:tcBorders>
              <w:top w:val="nil"/>
              <w:left w:val="nil"/>
              <w:bottom w:val="single" w:color="auto" w:sz="4" w:space="0"/>
              <w:right w:val="nil"/>
            </w:tcBorders>
            <w:noWrap/>
            <w:vAlign w:val="center"/>
          </w:tcPr>
          <w:p>
            <w:pPr>
              <w:widowControl/>
              <w:ind w:firstLine="1620" w:firstLineChars="450"/>
              <w:rPr>
                <w:rFonts w:ascii="方正小标宋简体" w:hAnsi="方正小标宋简体" w:eastAsia="方正小标宋简体" w:cs="宋体"/>
                <w:color w:val="auto"/>
                <w:kern w:val="0"/>
                <w:sz w:val="36"/>
                <w:szCs w:val="36"/>
              </w:rPr>
            </w:pPr>
            <w:r>
              <w:rPr>
                <w:rFonts w:hint="eastAsia" w:ascii="方正小标宋简体" w:hAnsi="方正小标宋简体" w:eastAsia="方正小标宋简体" w:cs="宋体"/>
                <w:color w:val="auto"/>
                <w:kern w:val="0"/>
                <w:sz w:val="36"/>
                <w:szCs w:val="36"/>
              </w:rPr>
              <w:t>部门（单位）整体支出绩效自评表</w:t>
            </w:r>
          </w:p>
        </w:tc>
      </w:tr>
      <w:tr>
        <w:tblPrEx>
          <w:tblCellMar>
            <w:top w:w="0" w:type="dxa"/>
            <w:left w:w="108" w:type="dxa"/>
            <w:bottom w:w="0" w:type="dxa"/>
            <w:right w:w="108" w:type="dxa"/>
          </w:tblCellMar>
        </w:tblPrEx>
        <w:trPr>
          <w:trHeight w:val="660" w:hRule="atLeast"/>
        </w:trPr>
        <w:tc>
          <w:tcPr>
            <w:tcW w:w="45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一级指标</w:t>
            </w:r>
          </w:p>
        </w:tc>
        <w:tc>
          <w:tcPr>
            <w:tcW w:w="6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分值</w:t>
            </w:r>
          </w:p>
        </w:tc>
        <w:tc>
          <w:tcPr>
            <w:tcW w:w="567"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二级指标</w:t>
            </w:r>
          </w:p>
        </w:tc>
        <w:tc>
          <w:tcPr>
            <w:tcW w:w="567"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分值</w:t>
            </w:r>
          </w:p>
        </w:tc>
        <w:tc>
          <w:tcPr>
            <w:tcW w:w="122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三级指标</w:t>
            </w:r>
          </w:p>
        </w:tc>
        <w:tc>
          <w:tcPr>
            <w:tcW w:w="66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分值</w:t>
            </w:r>
          </w:p>
        </w:tc>
        <w:tc>
          <w:tcPr>
            <w:tcW w:w="151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评价标准</w:t>
            </w:r>
          </w:p>
        </w:tc>
        <w:tc>
          <w:tcPr>
            <w:tcW w:w="382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指标说明</w:t>
            </w:r>
          </w:p>
        </w:tc>
      </w:tr>
      <w:tr>
        <w:tblPrEx>
          <w:tblCellMar>
            <w:top w:w="0" w:type="dxa"/>
            <w:left w:w="108" w:type="dxa"/>
            <w:bottom w:w="0" w:type="dxa"/>
            <w:right w:w="108" w:type="dxa"/>
          </w:tblCellMar>
        </w:tblPrEx>
        <w:trPr>
          <w:trHeight w:val="900" w:hRule="atLeast"/>
        </w:trPr>
        <w:tc>
          <w:tcPr>
            <w:tcW w:w="457"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投入</w:t>
            </w:r>
          </w:p>
        </w:tc>
        <w:tc>
          <w:tcPr>
            <w:tcW w:w="692"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13</w:t>
            </w:r>
          </w:p>
        </w:tc>
        <w:tc>
          <w:tcPr>
            <w:tcW w:w="567"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预算编制</w:t>
            </w:r>
          </w:p>
        </w:tc>
        <w:tc>
          <w:tcPr>
            <w:tcW w:w="567"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13</w:t>
            </w:r>
          </w:p>
        </w:tc>
        <w:tc>
          <w:tcPr>
            <w:tcW w:w="122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职责相关性</w:t>
            </w:r>
          </w:p>
        </w:tc>
        <w:tc>
          <w:tcPr>
            <w:tcW w:w="66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w:t>
            </w:r>
          </w:p>
        </w:tc>
        <w:tc>
          <w:tcPr>
            <w:tcW w:w="1512" w:type="dxa"/>
            <w:tcBorders>
              <w:top w:val="nil"/>
              <w:left w:val="nil"/>
              <w:bottom w:val="nil"/>
              <w:right w:val="single" w:color="auto" w:sz="4" w:space="0"/>
            </w:tcBorders>
            <w:shd w:val="clear" w:color="000000" w:fill="FFFFFF"/>
            <w:noWrap w:val="0"/>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全部符合得3分，一项不符合扣0.5分，扣完为止。</w:t>
            </w:r>
          </w:p>
        </w:tc>
        <w:tc>
          <w:tcPr>
            <w:tcW w:w="3828"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部门专项活动的设定是否符合部门职责和县委、县政府及本部门的年度工作安排与发展规划。</w:t>
            </w:r>
          </w:p>
        </w:tc>
      </w:tr>
      <w:tr>
        <w:tblPrEx>
          <w:tblCellMar>
            <w:top w:w="0" w:type="dxa"/>
            <w:left w:w="108" w:type="dxa"/>
            <w:bottom w:w="0" w:type="dxa"/>
            <w:right w:w="108" w:type="dxa"/>
          </w:tblCellMar>
        </w:tblPrEx>
        <w:trPr>
          <w:trHeight w:val="1485" w:hRule="atLeast"/>
        </w:trPr>
        <w:tc>
          <w:tcPr>
            <w:tcW w:w="45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6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56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56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122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准确性</w:t>
            </w:r>
          </w:p>
        </w:tc>
        <w:tc>
          <w:tcPr>
            <w:tcW w:w="66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w:t>
            </w:r>
          </w:p>
        </w:tc>
        <w:tc>
          <w:tcPr>
            <w:tcW w:w="1512"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项目预算安排率≥80%得3分，50%（含）－80%得2分，30%（含）－50%得1分，低于30%不得分。</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部门项目（除人员、车辆、公用经费等基本支出以外的所有项目）预算申报额与预算核定数的对比。</w:t>
            </w:r>
          </w:p>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项目预算安排率＝项目预算核定数/项目预算申报额×100%。</w:t>
            </w:r>
          </w:p>
        </w:tc>
      </w:tr>
      <w:tr>
        <w:tblPrEx>
          <w:tblCellMar>
            <w:top w:w="0" w:type="dxa"/>
            <w:left w:w="108" w:type="dxa"/>
            <w:bottom w:w="0" w:type="dxa"/>
            <w:right w:w="108" w:type="dxa"/>
          </w:tblCellMar>
        </w:tblPrEx>
        <w:trPr>
          <w:trHeight w:val="1875" w:hRule="atLeast"/>
        </w:trPr>
        <w:tc>
          <w:tcPr>
            <w:tcW w:w="45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6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56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56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122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规范性</w:t>
            </w:r>
          </w:p>
        </w:tc>
        <w:tc>
          <w:tcPr>
            <w:tcW w:w="66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w:t>
            </w:r>
          </w:p>
        </w:tc>
        <w:tc>
          <w:tcPr>
            <w:tcW w:w="151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应申报绩效目标项目未申报酌情扣0-2分；视申报绩效目标材料质量情况酌情扣0-3分。</w:t>
            </w:r>
          </w:p>
        </w:tc>
        <w:tc>
          <w:tcPr>
            <w:tcW w:w="382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规定额度以上项目是否按规范申报绩效目标。                                                                 评价要点：                           1、应申报项目是否均申报了绩效目标；                                 2、申报绩效目标是否明确，产出效益是否可评价。</w:t>
            </w:r>
          </w:p>
        </w:tc>
      </w:tr>
      <w:tr>
        <w:tblPrEx>
          <w:tblCellMar>
            <w:top w:w="0" w:type="dxa"/>
            <w:left w:w="108" w:type="dxa"/>
            <w:bottom w:w="0" w:type="dxa"/>
            <w:right w:w="108" w:type="dxa"/>
          </w:tblCellMar>
        </w:tblPrEx>
        <w:trPr>
          <w:trHeight w:val="780" w:hRule="atLeast"/>
        </w:trPr>
        <w:tc>
          <w:tcPr>
            <w:tcW w:w="45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6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56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56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1221"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细化程度</w:t>
            </w:r>
          </w:p>
        </w:tc>
        <w:tc>
          <w:tcPr>
            <w:tcW w:w="66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151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全部项目细化得2分，一个项目未细化扣0.3分，扣完为止。</w:t>
            </w:r>
          </w:p>
        </w:tc>
        <w:tc>
          <w:tcPr>
            <w:tcW w:w="382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部门项目预算申报是否按预算编制说明进行细化，资金用途是否明确</w:t>
            </w:r>
          </w:p>
        </w:tc>
      </w:tr>
      <w:tr>
        <w:tblPrEx>
          <w:tblCellMar>
            <w:top w:w="0" w:type="dxa"/>
            <w:left w:w="108" w:type="dxa"/>
            <w:bottom w:w="0" w:type="dxa"/>
            <w:right w:w="108" w:type="dxa"/>
          </w:tblCellMar>
        </w:tblPrEx>
        <w:trPr>
          <w:trHeight w:val="765" w:hRule="atLeast"/>
        </w:trPr>
        <w:tc>
          <w:tcPr>
            <w:tcW w:w="45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6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56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56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1221"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及时性</w:t>
            </w:r>
          </w:p>
        </w:tc>
        <w:tc>
          <w:tcPr>
            <w:tcW w:w="66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151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各环节每超过规定5个工作日扣0.5分，扣完为止。</w:t>
            </w:r>
          </w:p>
        </w:tc>
        <w:tc>
          <w:tcPr>
            <w:tcW w:w="382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按时完成预算编制工作并及时提交</w:t>
            </w:r>
          </w:p>
        </w:tc>
      </w:tr>
      <w:tr>
        <w:tblPrEx>
          <w:tblCellMar>
            <w:top w:w="0" w:type="dxa"/>
            <w:left w:w="108" w:type="dxa"/>
            <w:bottom w:w="0" w:type="dxa"/>
            <w:right w:w="108" w:type="dxa"/>
          </w:tblCellMar>
        </w:tblPrEx>
        <w:trPr>
          <w:trHeight w:val="1965" w:hRule="atLeast"/>
        </w:trPr>
        <w:tc>
          <w:tcPr>
            <w:tcW w:w="457" w:type="dxa"/>
            <w:vMerge w:val="restart"/>
            <w:tcBorders>
              <w:top w:val="nil"/>
              <w:left w:val="single" w:color="auto" w:sz="4" w:space="0"/>
              <w:bottom w:val="nil"/>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过程</w:t>
            </w:r>
          </w:p>
        </w:tc>
        <w:tc>
          <w:tcPr>
            <w:tcW w:w="692" w:type="dxa"/>
            <w:vMerge w:val="restart"/>
            <w:tcBorders>
              <w:top w:val="nil"/>
              <w:left w:val="single" w:color="auto" w:sz="4" w:space="0"/>
              <w:bottom w:val="nil"/>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59</w:t>
            </w:r>
          </w:p>
        </w:tc>
        <w:tc>
          <w:tcPr>
            <w:tcW w:w="567" w:type="dxa"/>
            <w:vMerge w:val="restart"/>
            <w:tcBorders>
              <w:top w:val="nil"/>
              <w:left w:val="single" w:color="auto" w:sz="4" w:space="0"/>
              <w:bottom w:val="nil"/>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预算执行</w:t>
            </w:r>
          </w:p>
        </w:tc>
        <w:tc>
          <w:tcPr>
            <w:tcW w:w="567" w:type="dxa"/>
            <w:vMerge w:val="restart"/>
            <w:tcBorders>
              <w:top w:val="nil"/>
              <w:left w:val="single" w:color="auto" w:sz="4" w:space="0"/>
              <w:bottom w:val="nil"/>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20</w:t>
            </w:r>
          </w:p>
        </w:tc>
        <w:tc>
          <w:tcPr>
            <w:tcW w:w="122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预算完成率</w:t>
            </w:r>
          </w:p>
        </w:tc>
        <w:tc>
          <w:tcPr>
            <w:tcW w:w="66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w:t>
            </w:r>
          </w:p>
        </w:tc>
        <w:tc>
          <w:tcPr>
            <w:tcW w:w="1512"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100%计满分，每低于5%扣0.5分，扣完为止。</w:t>
            </w:r>
          </w:p>
        </w:tc>
        <w:tc>
          <w:tcPr>
            <w:tcW w:w="3828"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预算完成率=（预算完成数/预算数）×100%，用以反映和考核部门（单位）预算完成程度。</w:t>
            </w:r>
          </w:p>
          <w:p>
            <w:pPr>
              <w:widowControl/>
              <w:jc w:val="left"/>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预算完成数：部门（单位）本年度实际完成的预算数。</w:t>
            </w:r>
          </w:p>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预算数：财政部门批复的本年度部门（单位）预算数。</w:t>
            </w:r>
          </w:p>
        </w:tc>
      </w:tr>
      <w:tr>
        <w:tblPrEx>
          <w:tblCellMar>
            <w:top w:w="0" w:type="dxa"/>
            <w:left w:w="108" w:type="dxa"/>
            <w:bottom w:w="0" w:type="dxa"/>
            <w:right w:w="108" w:type="dxa"/>
          </w:tblCellMar>
        </w:tblPrEx>
        <w:trPr>
          <w:trHeight w:val="2910" w:hRule="atLeast"/>
        </w:trPr>
        <w:tc>
          <w:tcPr>
            <w:tcW w:w="457"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692"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567"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567"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1221"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预算调整率</w:t>
            </w:r>
          </w:p>
        </w:tc>
        <w:tc>
          <w:tcPr>
            <w:tcW w:w="66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w:t>
            </w:r>
          </w:p>
        </w:tc>
        <w:tc>
          <w:tcPr>
            <w:tcW w:w="1512"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预算调整率绝对值≤5%，得5分。</w:t>
            </w:r>
          </w:p>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预算调整率绝对值＞5%的，每增加0.1个百分点扣0.1分，扣完为止。</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预算调整率=（预算调整数/预算数）×100%，用以反映和考核部门（单位）预算的调整程度。</w:t>
            </w:r>
          </w:p>
          <w:p>
            <w:pPr>
              <w:widowControl/>
              <w:jc w:val="left"/>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预算调整数：部门（单位）在本年度内涉及预算的追加、追减或结构调整的资金总和（因落实国家政策、发生不可抗力、上级部门或本级党委政府临时交办而产生的调整除外）。</w:t>
            </w:r>
          </w:p>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预算包括一般公共预算与政府性基金预算。</w:t>
            </w:r>
          </w:p>
        </w:tc>
      </w:tr>
      <w:tr>
        <w:tblPrEx>
          <w:tblCellMar>
            <w:top w:w="0" w:type="dxa"/>
            <w:left w:w="108" w:type="dxa"/>
            <w:bottom w:w="0" w:type="dxa"/>
            <w:right w:w="108" w:type="dxa"/>
          </w:tblCellMar>
        </w:tblPrEx>
        <w:trPr>
          <w:trHeight w:val="1230" w:hRule="atLeast"/>
        </w:trPr>
        <w:tc>
          <w:tcPr>
            <w:tcW w:w="457"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692"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567"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567"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122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预算控制率</w:t>
            </w:r>
          </w:p>
        </w:tc>
        <w:tc>
          <w:tcPr>
            <w:tcW w:w="66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w:t>
            </w:r>
          </w:p>
        </w:tc>
        <w:tc>
          <w:tcPr>
            <w:tcW w:w="1512"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预算控制率=0，计5分；0-10%（含），计4分；10-20%（含），计3分；20-30%（含），计2分；大于30%不得分</w:t>
            </w:r>
          </w:p>
        </w:tc>
        <w:tc>
          <w:tcPr>
            <w:tcW w:w="3828"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预算控制率=（本年追加预算/年初预算）×100%。</w:t>
            </w:r>
          </w:p>
        </w:tc>
      </w:tr>
      <w:tr>
        <w:tblPrEx>
          <w:tblCellMar>
            <w:top w:w="0" w:type="dxa"/>
            <w:left w:w="108" w:type="dxa"/>
            <w:bottom w:w="0" w:type="dxa"/>
            <w:right w:w="108" w:type="dxa"/>
          </w:tblCellMar>
        </w:tblPrEx>
        <w:trPr>
          <w:trHeight w:val="3045" w:hRule="atLeast"/>
        </w:trPr>
        <w:tc>
          <w:tcPr>
            <w:tcW w:w="457"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692"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567"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567"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122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支出进度率</w:t>
            </w:r>
          </w:p>
        </w:tc>
        <w:tc>
          <w:tcPr>
            <w:tcW w:w="66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w:t>
            </w:r>
          </w:p>
        </w:tc>
        <w:tc>
          <w:tcPr>
            <w:tcW w:w="1512"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100%以下（含）计满分，每超出5%扣2分，扣完为止。</w:t>
            </w:r>
          </w:p>
        </w:tc>
        <w:tc>
          <w:tcPr>
            <w:tcW w:w="382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支出进度率=（实际支出/支出预算）×100%，用以反映和考核部门（单位）预算执行的及时性和均衡性程度。半年支出进度＝部门上半年实际支出/（上年结余结转+本年部门预算安排+上半年执行中追加追减）*100%。前三季度支出进度＝部门前三季度实际支出/（上年结余结转+本年部门预算安排+前三季度执行中追加追减）*100%。</w:t>
            </w:r>
          </w:p>
        </w:tc>
      </w:tr>
      <w:tr>
        <w:tblPrEx>
          <w:tblCellMar>
            <w:top w:w="0" w:type="dxa"/>
            <w:left w:w="108" w:type="dxa"/>
            <w:bottom w:w="0" w:type="dxa"/>
            <w:right w:w="108" w:type="dxa"/>
          </w:tblCellMar>
        </w:tblPrEx>
        <w:trPr>
          <w:trHeight w:val="1410" w:hRule="atLeast"/>
        </w:trPr>
        <w:tc>
          <w:tcPr>
            <w:tcW w:w="457"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692"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567" w:type="dxa"/>
            <w:vMerge w:val="restart"/>
            <w:tcBorders>
              <w:top w:val="single" w:color="auto" w:sz="4" w:space="0"/>
              <w:left w:val="single" w:color="auto" w:sz="4" w:space="0"/>
              <w:bottom w:val="nil"/>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预算管理</w:t>
            </w:r>
          </w:p>
        </w:tc>
        <w:tc>
          <w:tcPr>
            <w:tcW w:w="567" w:type="dxa"/>
            <w:vMerge w:val="restart"/>
            <w:tcBorders>
              <w:top w:val="single" w:color="auto" w:sz="4" w:space="0"/>
              <w:left w:val="single" w:color="auto" w:sz="4" w:space="0"/>
              <w:bottom w:val="nil"/>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39</w:t>
            </w:r>
          </w:p>
        </w:tc>
        <w:tc>
          <w:tcPr>
            <w:tcW w:w="122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“三公经费”控制率</w:t>
            </w:r>
          </w:p>
        </w:tc>
        <w:tc>
          <w:tcPr>
            <w:tcW w:w="66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w:t>
            </w:r>
          </w:p>
        </w:tc>
        <w:tc>
          <w:tcPr>
            <w:tcW w:w="1512" w:type="dxa"/>
            <w:tcBorders>
              <w:top w:val="nil"/>
              <w:left w:val="nil"/>
              <w:bottom w:val="single" w:color="auto" w:sz="4" w:space="0"/>
              <w:right w:val="single" w:color="auto" w:sz="4" w:space="0"/>
            </w:tcBorders>
            <w:shd w:val="clear" w:color="000000" w:fill="FFFFFF"/>
            <w:noWrap w:val="0"/>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100%以下（含）计满分，每超出1%扣0.5分，扣完为止。</w:t>
            </w:r>
          </w:p>
        </w:tc>
        <w:tc>
          <w:tcPr>
            <w:tcW w:w="382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“三公经费”控制率=（“三公经费”实际支出数/“三公经费”预算安排数）×100%，用以反映和考核部门（单位）对“三公经费”的实际控制程度。</w:t>
            </w:r>
          </w:p>
        </w:tc>
      </w:tr>
      <w:tr>
        <w:tblPrEx>
          <w:tblCellMar>
            <w:top w:w="0" w:type="dxa"/>
            <w:left w:w="108" w:type="dxa"/>
            <w:bottom w:w="0" w:type="dxa"/>
            <w:right w:w="108" w:type="dxa"/>
          </w:tblCellMar>
        </w:tblPrEx>
        <w:trPr>
          <w:trHeight w:val="1905" w:hRule="atLeast"/>
        </w:trPr>
        <w:tc>
          <w:tcPr>
            <w:tcW w:w="457"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692"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567" w:type="dxa"/>
            <w:vMerge w:val="continue"/>
            <w:tcBorders>
              <w:top w:val="single" w:color="auto" w:sz="4" w:space="0"/>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567" w:type="dxa"/>
            <w:vMerge w:val="continue"/>
            <w:tcBorders>
              <w:top w:val="single" w:color="auto" w:sz="4" w:space="0"/>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122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资产管理规范性</w:t>
            </w:r>
          </w:p>
        </w:tc>
        <w:tc>
          <w:tcPr>
            <w:tcW w:w="66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w:t>
            </w:r>
          </w:p>
        </w:tc>
        <w:tc>
          <w:tcPr>
            <w:tcW w:w="151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全部符合6分，有1项不符扣2分,扣完为止。</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部门（单位）资产管理是否规范，用以反映和考核部门（单位）资产管理情况。</w:t>
            </w:r>
          </w:p>
          <w:p>
            <w:pPr>
              <w:widowControl/>
              <w:jc w:val="left"/>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1.新增资产配置按预算执行。</w:t>
            </w:r>
          </w:p>
          <w:p>
            <w:pPr>
              <w:widowControl/>
              <w:jc w:val="left"/>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2.资产有偿使用、处置按规定程序审批。</w:t>
            </w:r>
          </w:p>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3.资产收益及时、足额上缴财政。</w:t>
            </w:r>
          </w:p>
        </w:tc>
      </w:tr>
      <w:tr>
        <w:tblPrEx>
          <w:tblCellMar>
            <w:top w:w="0" w:type="dxa"/>
            <w:left w:w="108" w:type="dxa"/>
            <w:bottom w:w="0" w:type="dxa"/>
            <w:right w:w="108" w:type="dxa"/>
          </w:tblCellMar>
        </w:tblPrEx>
        <w:trPr>
          <w:trHeight w:val="915" w:hRule="atLeast"/>
        </w:trPr>
        <w:tc>
          <w:tcPr>
            <w:tcW w:w="457"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692"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567" w:type="dxa"/>
            <w:vMerge w:val="continue"/>
            <w:tcBorders>
              <w:top w:val="single" w:color="auto" w:sz="4" w:space="0"/>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567" w:type="dxa"/>
            <w:vMerge w:val="continue"/>
            <w:tcBorders>
              <w:top w:val="single" w:color="auto" w:sz="4" w:space="0"/>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122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政府采购执行率</w:t>
            </w:r>
          </w:p>
        </w:tc>
        <w:tc>
          <w:tcPr>
            <w:tcW w:w="66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w:t>
            </w:r>
          </w:p>
        </w:tc>
        <w:tc>
          <w:tcPr>
            <w:tcW w:w="1512" w:type="dxa"/>
            <w:tcBorders>
              <w:top w:val="nil"/>
              <w:left w:val="nil"/>
              <w:bottom w:val="single" w:color="auto" w:sz="4" w:space="0"/>
              <w:right w:val="single" w:color="auto" w:sz="4" w:space="0"/>
            </w:tcBorders>
            <w:shd w:val="clear" w:color="000000" w:fill="FFFFFF"/>
            <w:noWrap w:val="0"/>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100%计满分，每超过（降低）5%扣2分。扣完为止。</w:t>
            </w:r>
          </w:p>
        </w:tc>
        <w:tc>
          <w:tcPr>
            <w:tcW w:w="3828"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政府采购执行率=（实际政府采购金额/政府采购预算数）×100%                </w:t>
            </w:r>
          </w:p>
        </w:tc>
      </w:tr>
      <w:tr>
        <w:tblPrEx>
          <w:tblCellMar>
            <w:top w:w="0" w:type="dxa"/>
            <w:left w:w="108" w:type="dxa"/>
            <w:bottom w:w="0" w:type="dxa"/>
            <w:right w:w="108" w:type="dxa"/>
          </w:tblCellMar>
        </w:tblPrEx>
        <w:trPr>
          <w:trHeight w:val="675" w:hRule="atLeast"/>
        </w:trPr>
        <w:tc>
          <w:tcPr>
            <w:tcW w:w="457"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692"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567" w:type="dxa"/>
            <w:vMerge w:val="continue"/>
            <w:tcBorders>
              <w:top w:val="single" w:color="auto" w:sz="4" w:space="0"/>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567" w:type="dxa"/>
            <w:vMerge w:val="continue"/>
            <w:tcBorders>
              <w:top w:val="single" w:color="auto" w:sz="4" w:space="0"/>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1221"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管理制度健全性</w:t>
            </w:r>
          </w:p>
        </w:tc>
        <w:tc>
          <w:tcPr>
            <w:tcW w:w="669"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w:t>
            </w:r>
          </w:p>
        </w:tc>
        <w:tc>
          <w:tcPr>
            <w:tcW w:w="1512"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①有内部财务管理制度、会计核算制度等管理制度，2分；</w:t>
            </w:r>
          </w:p>
        </w:tc>
        <w:tc>
          <w:tcPr>
            <w:tcW w:w="3828"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部门加强预算资金管理的制度是否健全完整，用以反映和考核部门履责或促进事业发展的制度保障情况。                           评价要点：                                 1.内部财务制度是否健全；                                                                                                             2.项目或专项资金管理制度是否健全；</w:t>
            </w:r>
          </w:p>
        </w:tc>
      </w:tr>
      <w:tr>
        <w:tblPrEx>
          <w:tblCellMar>
            <w:top w:w="0" w:type="dxa"/>
            <w:left w:w="108" w:type="dxa"/>
            <w:bottom w:w="0" w:type="dxa"/>
            <w:right w:w="108" w:type="dxa"/>
          </w:tblCellMar>
        </w:tblPrEx>
        <w:trPr>
          <w:trHeight w:val="600" w:hRule="atLeast"/>
        </w:trPr>
        <w:tc>
          <w:tcPr>
            <w:tcW w:w="457"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692"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567" w:type="dxa"/>
            <w:vMerge w:val="continue"/>
            <w:tcBorders>
              <w:top w:val="single" w:color="auto" w:sz="4" w:space="0"/>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567" w:type="dxa"/>
            <w:vMerge w:val="continue"/>
            <w:tcBorders>
              <w:top w:val="single" w:color="auto" w:sz="4" w:space="0"/>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12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66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1512"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②有本部门厉行节约制度，2分；</w:t>
            </w:r>
          </w:p>
        </w:tc>
        <w:tc>
          <w:tcPr>
            <w:tcW w:w="382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0"/>
                <w:szCs w:val="20"/>
              </w:rPr>
            </w:pPr>
          </w:p>
        </w:tc>
      </w:tr>
      <w:tr>
        <w:tblPrEx>
          <w:tblCellMar>
            <w:top w:w="0" w:type="dxa"/>
            <w:left w:w="108" w:type="dxa"/>
            <w:bottom w:w="0" w:type="dxa"/>
            <w:right w:w="108" w:type="dxa"/>
          </w:tblCellMar>
        </w:tblPrEx>
        <w:trPr>
          <w:trHeight w:val="675" w:hRule="atLeast"/>
        </w:trPr>
        <w:tc>
          <w:tcPr>
            <w:tcW w:w="457"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692"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567" w:type="dxa"/>
            <w:vMerge w:val="continue"/>
            <w:tcBorders>
              <w:top w:val="single" w:color="auto" w:sz="4" w:space="0"/>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567" w:type="dxa"/>
            <w:vMerge w:val="continue"/>
            <w:tcBorders>
              <w:top w:val="single" w:color="auto" w:sz="4" w:space="0"/>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12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66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1512"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③相关管理制度合法、合规、完整，1分；</w:t>
            </w:r>
          </w:p>
        </w:tc>
        <w:tc>
          <w:tcPr>
            <w:tcW w:w="382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0"/>
                <w:szCs w:val="20"/>
              </w:rPr>
            </w:pPr>
          </w:p>
        </w:tc>
      </w:tr>
      <w:tr>
        <w:tblPrEx>
          <w:tblCellMar>
            <w:top w:w="0" w:type="dxa"/>
            <w:left w:w="108" w:type="dxa"/>
            <w:bottom w:w="0" w:type="dxa"/>
            <w:right w:w="108" w:type="dxa"/>
          </w:tblCellMar>
        </w:tblPrEx>
        <w:trPr>
          <w:trHeight w:val="660" w:hRule="atLeast"/>
        </w:trPr>
        <w:tc>
          <w:tcPr>
            <w:tcW w:w="457"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692"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567" w:type="dxa"/>
            <w:vMerge w:val="continue"/>
            <w:tcBorders>
              <w:top w:val="single" w:color="auto" w:sz="4" w:space="0"/>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567" w:type="dxa"/>
            <w:vMerge w:val="continue"/>
            <w:tcBorders>
              <w:top w:val="single" w:color="auto" w:sz="4" w:space="0"/>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12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66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1512"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④相关管理制度得到有效执行，1分。</w:t>
            </w:r>
          </w:p>
        </w:tc>
        <w:tc>
          <w:tcPr>
            <w:tcW w:w="382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0"/>
                <w:szCs w:val="20"/>
              </w:rPr>
            </w:pPr>
          </w:p>
        </w:tc>
      </w:tr>
      <w:tr>
        <w:tblPrEx>
          <w:tblCellMar>
            <w:top w:w="0" w:type="dxa"/>
            <w:left w:w="108" w:type="dxa"/>
            <w:bottom w:w="0" w:type="dxa"/>
            <w:right w:w="108" w:type="dxa"/>
          </w:tblCellMar>
        </w:tblPrEx>
        <w:trPr>
          <w:trHeight w:val="2490" w:hRule="atLeast"/>
        </w:trPr>
        <w:tc>
          <w:tcPr>
            <w:tcW w:w="457"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692"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567" w:type="dxa"/>
            <w:vMerge w:val="continue"/>
            <w:tcBorders>
              <w:top w:val="single" w:color="auto" w:sz="4" w:space="0"/>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567" w:type="dxa"/>
            <w:vMerge w:val="continue"/>
            <w:tcBorders>
              <w:top w:val="single" w:color="auto" w:sz="4" w:space="0"/>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1221"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资金使用合规性</w:t>
            </w:r>
          </w:p>
        </w:tc>
        <w:tc>
          <w:tcPr>
            <w:tcW w:w="669"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w:t>
            </w:r>
          </w:p>
        </w:tc>
        <w:tc>
          <w:tcPr>
            <w:tcW w:w="1512"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②资金拨付有完整的审批程序和手续；</w:t>
            </w:r>
          </w:p>
          <w:p>
            <w:pPr>
              <w:widowControl/>
              <w:jc w:val="left"/>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③项目支出按规定经过评估论证；</w:t>
            </w:r>
          </w:p>
          <w:p>
            <w:pPr>
              <w:widowControl/>
              <w:jc w:val="left"/>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④支出符合部门预算批复的用途；</w:t>
            </w:r>
          </w:p>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⑤资金使用无截留、挤占、挪用、虚列支出等情况。</w:t>
            </w:r>
          </w:p>
        </w:tc>
        <w:tc>
          <w:tcPr>
            <w:tcW w:w="3828"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部门（单位）使用预算资金是否符合相关的预算财务管理制度的规定，用以反映和考核部门（单位）预算资金的规范运行情况。</w:t>
            </w:r>
          </w:p>
          <w:p>
            <w:pPr>
              <w:widowControl/>
              <w:jc w:val="left"/>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1.符合国家财经法规和财务管理制度规定以及有关专项资金管理办法的规定；</w:t>
            </w:r>
          </w:p>
          <w:p>
            <w:pPr>
              <w:widowControl/>
              <w:jc w:val="left"/>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2.资金的拨付有完整的审批程序和手续；</w:t>
            </w:r>
          </w:p>
          <w:p>
            <w:pPr>
              <w:widowControl/>
              <w:jc w:val="left"/>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3.重大项目支出经过评估论证；</w:t>
            </w:r>
          </w:p>
          <w:p>
            <w:pPr>
              <w:widowControl/>
              <w:jc w:val="left"/>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4.符合部门预算批复的用途；</w:t>
            </w:r>
          </w:p>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5.不存在截留、挤占、挪用、虚列支出等情况。</w:t>
            </w:r>
          </w:p>
        </w:tc>
      </w:tr>
      <w:tr>
        <w:tblPrEx>
          <w:tblCellMar>
            <w:top w:w="0" w:type="dxa"/>
            <w:left w:w="108" w:type="dxa"/>
            <w:bottom w:w="0" w:type="dxa"/>
            <w:right w:w="108" w:type="dxa"/>
          </w:tblCellMar>
        </w:tblPrEx>
        <w:trPr>
          <w:trHeight w:val="720" w:hRule="atLeast"/>
        </w:trPr>
        <w:tc>
          <w:tcPr>
            <w:tcW w:w="457"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692"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567" w:type="dxa"/>
            <w:vMerge w:val="continue"/>
            <w:tcBorders>
              <w:top w:val="single" w:color="auto" w:sz="4" w:space="0"/>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567" w:type="dxa"/>
            <w:vMerge w:val="continue"/>
            <w:tcBorders>
              <w:top w:val="single" w:color="auto" w:sz="4" w:space="0"/>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12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66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1512"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以上情况每出现一例不符合要求的扣1分，扣完为止。</w:t>
            </w:r>
          </w:p>
        </w:tc>
        <w:tc>
          <w:tcPr>
            <w:tcW w:w="382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0"/>
                <w:szCs w:val="20"/>
              </w:rPr>
            </w:pPr>
          </w:p>
        </w:tc>
      </w:tr>
      <w:tr>
        <w:tblPrEx>
          <w:tblCellMar>
            <w:top w:w="0" w:type="dxa"/>
            <w:left w:w="108" w:type="dxa"/>
            <w:bottom w:w="0" w:type="dxa"/>
            <w:right w:w="108" w:type="dxa"/>
          </w:tblCellMar>
        </w:tblPrEx>
        <w:trPr>
          <w:trHeight w:val="1602" w:hRule="atLeast"/>
        </w:trPr>
        <w:tc>
          <w:tcPr>
            <w:tcW w:w="457"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692"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567" w:type="dxa"/>
            <w:vMerge w:val="continue"/>
            <w:tcBorders>
              <w:top w:val="single" w:color="auto" w:sz="4" w:space="0"/>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567" w:type="dxa"/>
            <w:vMerge w:val="continue"/>
            <w:tcBorders>
              <w:top w:val="single" w:color="auto" w:sz="4" w:space="0"/>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1221" w:type="dxa"/>
            <w:tcBorders>
              <w:top w:val="nil"/>
              <w:left w:val="nil"/>
              <w:bottom w:val="nil"/>
              <w:right w:val="single" w:color="auto" w:sz="4" w:space="0"/>
            </w:tcBorders>
            <w:shd w:val="clear" w:color="000000" w:fill="FFFFFF"/>
            <w:noWrap w:val="0"/>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基础信息完善性</w:t>
            </w:r>
          </w:p>
        </w:tc>
        <w:tc>
          <w:tcPr>
            <w:tcW w:w="669" w:type="dxa"/>
            <w:tcBorders>
              <w:top w:val="nil"/>
              <w:left w:val="nil"/>
              <w:bottom w:val="nil"/>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151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全部符合得2分；每发现一项不符扣1分，扣完为止。</w:t>
            </w:r>
          </w:p>
        </w:tc>
        <w:tc>
          <w:tcPr>
            <w:tcW w:w="382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部门基础信息是否完善，用以反映和评价基础信息对预算管理工作的支撑情况。评价要点：基础数据信息和会计信息资料真实、完整、准确</w:t>
            </w:r>
          </w:p>
        </w:tc>
      </w:tr>
      <w:tr>
        <w:tblPrEx>
          <w:tblCellMar>
            <w:top w:w="0" w:type="dxa"/>
            <w:left w:w="108" w:type="dxa"/>
            <w:bottom w:w="0" w:type="dxa"/>
            <w:right w:w="108" w:type="dxa"/>
          </w:tblCellMar>
        </w:tblPrEx>
        <w:trPr>
          <w:trHeight w:val="2640" w:hRule="atLeast"/>
        </w:trPr>
        <w:tc>
          <w:tcPr>
            <w:tcW w:w="457"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692"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567" w:type="dxa"/>
            <w:vMerge w:val="continue"/>
            <w:tcBorders>
              <w:top w:val="single" w:color="auto" w:sz="4" w:space="0"/>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567" w:type="dxa"/>
            <w:vMerge w:val="continue"/>
            <w:tcBorders>
              <w:top w:val="single" w:color="auto" w:sz="4" w:space="0"/>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1221"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预决算信息公开性</w:t>
            </w:r>
          </w:p>
        </w:tc>
        <w:tc>
          <w:tcPr>
            <w:tcW w:w="669"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w:t>
            </w:r>
          </w:p>
        </w:tc>
        <w:tc>
          <w:tcPr>
            <w:tcW w:w="1512" w:type="dxa"/>
            <w:tcBorders>
              <w:top w:val="nil"/>
              <w:left w:val="nil"/>
              <w:bottom w:val="single" w:color="auto" w:sz="4" w:space="0"/>
              <w:right w:val="single" w:color="auto" w:sz="4" w:space="0"/>
            </w:tcBorders>
            <w:shd w:val="clear" w:color="000000" w:fill="FFFFFF"/>
            <w:noWrap w:val="0"/>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全部符合得3分；一项不符扣1分，扣完为止。</w:t>
            </w:r>
          </w:p>
        </w:tc>
        <w:tc>
          <w:tcPr>
            <w:tcW w:w="3828"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部门是否按照政府信息公开有关规定公开相关预决算信息，用以反映和评价部门预决算管理的公开透明情况。                                       预决算信息是指与部门预算、执行、决算、监督、绩效等管理相关的信息。                                            评价要点：                                                        1.公开预决算信息；                                                                                                                   2.按规定内容公开预决算信息；                                                                                                            3.按规定时限公开预决算信息。</w:t>
            </w:r>
          </w:p>
        </w:tc>
      </w:tr>
      <w:tr>
        <w:tblPrEx>
          <w:tblCellMar>
            <w:top w:w="0" w:type="dxa"/>
            <w:left w:w="108" w:type="dxa"/>
            <w:bottom w:w="0" w:type="dxa"/>
            <w:right w:w="108" w:type="dxa"/>
          </w:tblCellMar>
        </w:tblPrEx>
        <w:trPr>
          <w:trHeight w:val="1422" w:hRule="atLeast"/>
        </w:trPr>
        <w:tc>
          <w:tcPr>
            <w:tcW w:w="457" w:type="dxa"/>
            <w:vMerge w:val="restart"/>
            <w:tcBorders>
              <w:top w:val="single" w:color="auto" w:sz="4" w:space="0"/>
              <w:left w:val="single" w:color="auto" w:sz="4" w:space="0"/>
              <w:bottom w:val="single" w:color="000000"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产出及效率</w:t>
            </w:r>
          </w:p>
        </w:tc>
        <w:tc>
          <w:tcPr>
            <w:tcW w:w="692" w:type="dxa"/>
            <w:vMerge w:val="restart"/>
            <w:tcBorders>
              <w:top w:val="single" w:color="auto" w:sz="4" w:space="0"/>
              <w:left w:val="single" w:color="auto" w:sz="4" w:space="0"/>
              <w:bottom w:val="single" w:color="000000"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28</w:t>
            </w:r>
          </w:p>
        </w:tc>
        <w:tc>
          <w:tcPr>
            <w:tcW w:w="567" w:type="dxa"/>
            <w:vMerge w:val="restart"/>
            <w:tcBorders>
              <w:top w:val="single" w:color="auto" w:sz="4" w:space="0"/>
              <w:left w:val="single" w:color="auto" w:sz="4" w:space="0"/>
              <w:bottom w:val="nil"/>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职责履行</w:t>
            </w:r>
          </w:p>
        </w:tc>
        <w:tc>
          <w:tcPr>
            <w:tcW w:w="567" w:type="dxa"/>
            <w:vMerge w:val="restart"/>
            <w:tcBorders>
              <w:top w:val="single" w:color="auto" w:sz="4" w:space="0"/>
              <w:left w:val="single" w:color="auto" w:sz="4" w:space="0"/>
              <w:bottom w:val="nil"/>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16</w:t>
            </w:r>
          </w:p>
        </w:tc>
        <w:tc>
          <w:tcPr>
            <w:tcW w:w="122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重点工作实际完成率</w:t>
            </w:r>
          </w:p>
        </w:tc>
        <w:tc>
          <w:tcPr>
            <w:tcW w:w="66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w:t>
            </w:r>
          </w:p>
        </w:tc>
        <w:tc>
          <w:tcPr>
            <w:tcW w:w="1512"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部门按照县委县政府年度重点工作和目标，实际完成工作目标情况与计划完成工作目标情况的对比。</w:t>
            </w:r>
          </w:p>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目标完成率＝（目标按进度完成项数/目标总项数）×100%</w:t>
            </w:r>
          </w:p>
        </w:tc>
        <w:tc>
          <w:tcPr>
            <w:tcW w:w="3828" w:type="dxa"/>
            <w:tcBorders>
              <w:top w:val="nil"/>
              <w:left w:val="nil"/>
              <w:bottom w:val="nil"/>
              <w:right w:val="single" w:color="auto" w:sz="4" w:space="0"/>
            </w:tcBorders>
            <w:shd w:val="clear" w:color="000000" w:fill="FFFFFF"/>
            <w:noWrap w:val="0"/>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得分＝目标完成率×本项指标分值。</w:t>
            </w:r>
          </w:p>
        </w:tc>
      </w:tr>
      <w:tr>
        <w:tblPrEx>
          <w:tblCellMar>
            <w:top w:w="0" w:type="dxa"/>
            <w:left w:w="108" w:type="dxa"/>
            <w:bottom w:w="0" w:type="dxa"/>
            <w:right w:w="108" w:type="dxa"/>
          </w:tblCellMar>
        </w:tblPrEx>
        <w:trPr>
          <w:trHeight w:val="1219" w:hRule="atLeast"/>
        </w:trPr>
        <w:tc>
          <w:tcPr>
            <w:tcW w:w="457"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692"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567" w:type="dxa"/>
            <w:vMerge w:val="continue"/>
            <w:tcBorders>
              <w:top w:val="single" w:color="auto" w:sz="4" w:space="0"/>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567" w:type="dxa"/>
            <w:vMerge w:val="continue"/>
            <w:tcBorders>
              <w:top w:val="single" w:color="auto" w:sz="4" w:space="0"/>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122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项目完成率</w:t>
            </w:r>
          </w:p>
        </w:tc>
        <w:tc>
          <w:tcPr>
            <w:tcW w:w="66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w:t>
            </w:r>
          </w:p>
        </w:tc>
        <w:tc>
          <w:tcPr>
            <w:tcW w:w="151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得分＝项目完成率×本项指标分值。</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按照列入年度部门预算项目，部门实际完成项目情况与计划完成项目情况的对比。                                                                       项目完成率＝（按进度完成项目个数/总项目个数）×100%。</w:t>
            </w:r>
          </w:p>
        </w:tc>
      </w:tr>
      <w:tr>
        <w:tblPrEx>
          <w:tblCellMar>
            <w:top w:w="0" w:type="dxa"/>
            <w:left w:w="108" w:type="dxa"/>
            <w:bottom w:w="0" w:type="dxa"/>
            <w:right w:w="108" w:type="dxa"/>
          </w:tblCellMar>
        </w:tblPrEx>
        <w:trPr>
          <w:trHeight w:val="1782" w:hRule="atLeast"/>
        </w:trPr>
        <w:tc>
          <w:tcPr>
            <w:tcW w:w="457"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692"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567" w:type="dxa"/>
            <w:vMerge w:val="continue"/>
            <w:tcBorders>
              <w:top w:val="single" w:color="auto" w:sz="4" w:space="0"/>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567" w:type="dxa"/>
            <w:vMerge w:val="continue"/>
            <w:tcBorders>
              <w:top w:val="single" w:color="auto" w:sz="4" w:space="0"/>
              <w:left w:val="single" w:color="auto" w:sz="4" w:space="0"/>
              <w:bottom w:val="nil"/>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122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项目绩效管理有效性</w:t>
            </w:r>
          </w:p>
        </w:tc>
        <w:tc>
          <w:tcPr>
            <w:tcW w:w="66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w:t>
            </w:r>
          </w:p>
        </w:tc>
        <w:tc>
          <w:tcPr>
            <w:tcW w:w="1512"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有以下情况的，每项扣1分，扣完为止：绩效目标评审项目未立项，未及时自评或质量较差，未按时报送绩效跟踪表，抽评或重点评价项目不合格，整改工作未落实等。</w:t>
            </w:r>
          </w:p>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抽评或重点评价项目被评为优秀的，每个加2分，总分不突破4分。</w:t>
            </w:r>
          </w:p>
        </w:tc>
        <w:tc>
          <w:tcPr>
            <w:tcW w:w="3828" w:type="dxa"/>
            <w:tcBorders>
              <w:top w:val="nil"/>
              <w:left w:val="nil"/>
              <w:bottom w:val="nil"/>
              <w:right w:val="single" w:color="auto" w:sz="4" w:space="0"/>
            </w:tcBorders>
            <w:shd w:val="clear" w:color="000000" w:fill="FFFFFF"/>
            <w:noWrap w:val="0"/>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根据部门绩效管理工作开展情况进行核查评价，包括绩效目标管理、绩效跟踪、绩效自评、抽评、重点评价和评价结果应用等情况</w:t>
            </w:r>
          </w:p>
        </w:tc>
      </w:tr>
      <w:tr>
        <w:tblPrEx>
          <w:tblCellMar>
            <w:top w:w="0" w:type="dxa"/>
            <w:left w:w="108" w:type="dxa"/>
            <w:bottom w:w="0" w:type="dxa"/>
            <w:right w:w="108" w:type="dxa"/>
          </w:tblCellMar>
        </w:tblPrEx>
        <w:trPr>
          <w:trHeight w:val="570" w:hRule="atLeast"/>
        </w:trPr>
        <w:tc>
          <w:tcPr>
            <w:tcW w:w="457"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692"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567"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履职效益</w:t>
            </w:r>
          </w:p>
        </w:tc>
        <w:tc>
          <w:tcPr>
            <w:tcW w:w="567" w:type="dxa"/>
            <w:vMerge w:val="restart"/>
            <w:tcBorders>
              <w:top w:val="single" w:color="auto" w:sz="4" w:space="0"/>
              <w:left w:val="single" w:color="auto" w:sz="4" w:space="0"/>
              <w:bottom w:val="single" w:color="000000"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12</w:t>
            </w:r>
          </w:p>
        </w:tc>
        <w:tc>
          <w:tcPr>
            <w:tcW w:w="122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经济效益</w:t>
            </w:r>
          </w:p>
        </w:tc>
        <w:tc>
          <w:tcPr>
            <w:tcW w:w="669"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w:t>
            </w:r>
          </w:p>
        </w:tc>
        <w:tc>
          <w:tcPr>
            <w:tcW w:w="1512"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此四项指标为设置部门整体支出绩效评价指标时必须考虑的共性要素，可根据部门实际并结合部门整体支出绩效目标设立情况有选择的进行设置，并将其细化为相应的个性化指标。部门（单位）可以根据年度专项资金绩效目标，汇总提炼出部门整体支出的绩效评价指标。</w:t>
            </w:r>
          </w:p>
        </w:tc>
        <w:tc>
          <w:tcPr>
            <w:tcW w:w="382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个性化指标的单项权重建议不超过3分。</w:t>
            </w:r>
          </w:p>
        </w:tc>
      </w:tr>
      <w:tr>
        <w:tblPrEx>
          <w:tblCellMar>
            <w:top w:w="0" w:type="dxa"/>
            <w:left w:w="108" w:type="dxa"/>
            <w:bottom w:w="0" w:type="dxa"/>
            <w:right w:w="108" w:type="dxa"/>
          </w:tblCellMar>
        </w:tblPrEx>
        <w:trPr>
          <w:trHeight w:val="435" w:hRule="atLeast"/>
        </w:trPr>
        <w:tc>
          <w:tcPr>
            <w:tcW w:w="457"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692"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567"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567"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122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社会效益</w:t>
            </w:r>
          </w:p>
        </w:tc>
        <w:tc>
          <w:tcPr>
            <w:tcW w:w="6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0"/>
                <w:szCs w:val="20"/>
              </w:rPr>
            </w:pPr>
          </w:p>
        </w:tc>
        <w:tc>
          <w:tcPr>
            <w:tcW w:w="151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auto"/>
                <w:kern w:val="0"/>
                <w:sz w:val="20"/>
                <w:szCs w:val="20"/>
              </w:rPr>
            </w:pPr>
          </w:p>
        </w:tc>
        <w:tc>
          <w:tcPr>
            <w:tcW w:w="382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auto"/>
                <w:kern w:val="0"/>
                <w:sz w:val="20"/>
                <w:szCs w:val="20"/>
              </w:rPr>
            </w:pPr>
          </w:p>
        </w:tc>
      </w:tr>
      <w:tr>
        <w:tblPrEx>
          <w:tblCellMar>
            <w:top w:w="0" w:type="dxa"/>
            <w:left w:w="108" w:type="dxa"/>
            <w:bottom w:w="0" w:type="dxa"/>
            <w:right w:w="108" w:type="dxa"/>
          </w:tblCellMar>
        </w:tblPrEx>
        <w:trPr>
          <w:trHeight w:val="480" w:hRule="atLeast"/>
        </w:trPr>
        <w:tc>
          <w:tcPr>
            <w:tcW w:w="457"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692"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567"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567"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122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生态效益</w:t>
            </w:r>
          </w:p>
        </w:tc>
        <w:tc>
          <w:tcPr>
            <w:tcW w:w="6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0"/>
                <w:szCs w:val="20"/>
              </w:rPr>
            </w:pPr>
          </w:p>
        </w:tc>
        <w:tc>
          <w:tcPr>
            <w:tcW w:w="151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auto"/>
                <w:kern w:val="0"/>
                <w:sz w:val="20"/>
                <w:szCs w:val="20"/>
              </w:rPr>
            </w:pPr>
          </w:p>
        </w:tc>
        <w:tc>
          <w:tcPr>
            <w:tcW w:w="382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auto"/>
                <w:kern w:val="0"/>
                <w:sz w:val="20"/>
                <w:szCs w:val="20"/>
              </w:rPr>
            </w:pPr>
          </w:p>
        </w:tc>
      </w:tr>
      <w:tr>
        <w:tblPrEx>
          <w:tblCellMar>
            <w:top w:w="0" w:type="dxa"/>
            <w:left w:w="108" w:type="dxa"/>
            <w:bottom w:w="0" w:type="dxa"/>
            <w:right w:w="108" w:type="dxa"/>
          </w:tblCellMar>
        </w:tblPrEx>
        <w:trPr>
          <w:trHeight w:val="462" w:hRule="atLeast"/>
        </w:trPr>
        <w:tc>
          <w:tcPr>
            <w:tcW w:w="457"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692"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567"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567"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122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可持续影响</w:t>
            </w:r>
          </w:p>
        </w:tc>
        <w:tc>
          <w:tcPr>
            <w:tcW w:w="6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0"/>
                <w:szCs w:val="20"/>
              </w:rPr>
            </w:pPr>
          </w:p>
        </w:tc>
        <w:tc>
          <w:tcPr>
            <w:tcW w:w="151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auto"/>
                <w:kern w:val="0"/>
                <w:sz w:val="20"/>
                <w:szCs w:val="20"/>
              </w:rPr>
            </w:pPr>
          </w:p>
        </w:tc>
        <w:tc>
          <w:tcPr>
            <w:tcW w:w="382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auto"/>
                <w:kern w:val="0"/>
                <w:sz w:val="20"/>
                <w:szCs w:val="20"/>
              </w:rPr>
            </w:pPr>
          </w:p>
        </w:tc>
      </w:tr>
      <w:tr>
        <w:tblPrEx>
          <w:tblCellMar>
            <w:top w:w="0" w:type="dxa"/>
            <w:left w:w="108" w:type="dxa"/>
            <w:bottom w:w="0" w:type="dxa"/>
            <w:right w:w="108" w:type="dxa"/>
          </w:tblCellMar>
        </w:tblPrEx>
        <w:trPr>
          <w:trHeight w:val="342" w:hRule="atLeast"/>
        </w:trPr>
        <w:tc>
          <w:tcPr>
            <w:tcW w:w="457"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692"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567"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567"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1221"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社会公众或服务对象满意度</w:t>
            </w:r>
          </w:p>
        </w:tc>
        <w:tc>
          <w:tcPr>
            <w:tcW w:w="669"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w:t>
            </w:r>
          </w:p>
        </w:tc>
        <w:tc>
          <w:tcPr>
            <w:tcW w:w="1512" w:type="dxa"/>
            <w:tcBorders>
              <w:top w:val="nil"/>
              <w:left w:val="nil"/>
              <w:bottom w:val="single" w:color="auto" w:sz="4" w:space="0"/>
              <w:right w:val="single" w:color="auto" w:sz="4" w:space="0"/>
            </w:tcBorders>
            <w:shd w:val="clear" w:color="000000" w:fill="FFFFFF"/>
            <w:noWrap w:val="0"/>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90%（含）以上计4分；</w:t>
            </w:r>
          </w:p>
        </w:tc>
        <w:tc>
          <w:tcPr>
            <w:tcW w:w="3828"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社会公众或服务对象是指部门（单位）履行职责而影响到的部门、群体或个人，一般采取社会调查的方式。</w:t>
            </w:r>
          </w:p>
        </w:tc>
      </w:tr>
      <w:tr>
        <w:tblPrEx>
          <w:tblCellMar>
            <w:top w:w="0" w:type="dxa"/>
            <w:left w:w="108" w:type="dxa"/>
            <w:bottom w:w="0" w:type="dxa"/>
            <w:right w:w="108" w:type="dxa"/>
          </w:tblCellMar>
        </w:tblPrEx>
        <w:trPr>
          <w:trHeight w:val="420" w:hRule="atLeast"/>
        </w:trPr>
        <w:tc>
          <w:tcPr>
            <w:tcW w:w="457"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692"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567"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567"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12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66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1512" w:type="dxa"/>
            <w:tcBorders>
              <w:top w:val="nil"/>
              <w:left w:val="nil"/>
              <w:bottom w:val="single" w:color="auto" w:sz="4" w:space="0"/>
              <w:right w:val="single" w:color="auto" w:sz="4" w:space="0"/>
            </w:tcBorders>
            <w:shd w:val="clear" w:color="000000" w:fill="FFFFFF"/>
            <w:noWrap w:val="0"/>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80%（含）-90%，计3分；</w:t>
            </w:r>
          </w:p>
        </w:tc>
        <w:tc>
          <w:tcPr>
            <w:tcW w:w="382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0"/>
                <w:szCs w:val="20"/>
              </w:rPr>
            </w:pPr>
          </w:p>
        </w:tc>
      </w:tr>
      <w:tr>
        <w:tblPrEx>
          <w:tblCellMar>
            <w:top w:w="0" w:type="dxa"/>
            <w:left w:w="108" w:type="dxa"/>
            <w:bottom w:w="0" w:type="dxa"/>
            <w:right w:w="108" w:type="dxa"/>
          </w:tblCellMar>
        </w:tblPrEx>
        <w:trPr>
          <w:trHeight w:val="390" w:hRule="atLeast"/>
        </w:trPr>
        <w:tc>
          <w:tcPr>
            <w:tcW w:w="457"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692"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567"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567"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12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66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1512" w:type="dxa"/>
            <w:tcBorders>
              <w:top w:val="nil"/>
              <w:left w:val="nil"/>
              <w:bottom w:val="single" w:color="auto" w:sz="4" w:space="0"/>
              <w:right w:val="single" w:color="auto" w:sz="4" w:space="0"/>
            </w:tcBorders>
            <w:shd w:val="clear" w:color="000000" w:fill="FFFFFF"/>
            <w:noWrap w:val="0"/>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70%（含）-80%，计2分；</w:t>
            </w:r>
          </w:p>
        </w:tc>
        <w:tc>
          <w:tcPr>
            <w:tcW w:w="382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0"/>
                <w:szCs w:val="20"/>
              </w:rPr>
            </w:pPr>
          </w:p>
        </w:tc>
      </w:tr>
      <w:tr>
        <w:tblPrEx>
          <w:tblCellMar>
            <w:top w:w="0" w:type="dxa"/>
            <w:left w:w="108" w:type="dxa"/>
            <w:bottom w:w="0" w:type="dxa"/>
            <w:right w:w="108" w:type="dxa"/>
          </w:tblCellMar>
        </w:tblPrEx>
        <w:trPr>
          <w:trHeight w:val="360" w:hRule="atLeast"/>
        </w:trPr>
        <w:tc>
          <w:tcPr>
            <w:tcW w:w="457"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692"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2"/>
                <w:szCs w:val="22"/>
              </w:rPr>
            </w:pPr>
          </w:p>
        </w:tc>
        <w:tc>
          <w:tcPr>
            <w:tcW w:w="567"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567"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12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66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auto"/>
                <w:kern w:val="0"/>
                <w:sz w:val="20"/>
                <w:szCs w:val="20"/>
              </w:rPr>
            </w:pPr>
          </w:p>
        </w:tc>
        <w:tc>
          <w:tcPr>
            <w:tcW w:w="1512" w:type="dxa"/>
            <w:tcBorders>
              <w:top w:val="nil"/>
              <w:left w:val="nil"/>
              <w:bottom w:val="single" w:color="auto" w:sz="4" w:space="0"/>
              <w:right w:val="single" w:color="auto" w:sz="4" w:space="0"/>
            </w:tcBorders>
            <w:shd w:val="clear" w:color="000000" w:fill="FFFFFF"/>
            <w:noWrap w:val="0"/>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低于70%计0分。</w:t>
            </w:r>
          </w:p>
        </w:tc>
        <w:tc>
          <w:tcPr>
            <w:tcW w:w="382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0"/>
                <w:szCs w:val="20"/>
              </w:rPr>
            </w:pPr>
          </w:p>
        </w:tc>
      </w:tr>
      <w:tr>
        <w:tblPrEx>
          <w:tblCellMar>
            <w:top w:w="0" w:type="dxa"/>
            <w:left w:w="108" w:type="dxa"/>
            <w:bottom w:w="0" w:type="dxa"/>
            <w:right w:w="108" w:type="dxa"/>
          </w:tblCellMar>
        </w:tblPrEx>
        <w:trPr>
          <w:trHeight w:val="480" w:hRule="atLeast"/>
        </w:trPr>
        <w:tc>
          <w:tcPr>
            <w:tcW w:w="457" w:type="dxa"/>
            <w:tcBorders>
              <w:top w:val="nil"/>
              <w:left w:val="single" w:color="auto" w:sz="4" w:space="0"/>
              <w:bottom w:val="single" w:color="auto" w:sz="4" w:space="0"/>
              <w:right w:val="nil"/>
            </w:tcBorders>
            <w:shd w:val="clear" w:color="000000" w:fill="FFFFFF"/>
            <w:noWrap w:val="0"/>
            <w:vAlign w:val="center"/>
          </w:tcPr>
          <w:p>
            <w:pPr>
              <w:widowControl/>
              <w:jc w:val="left"/>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合计</w:t>
            </w:r>
          </w:p>
        </w:tc>
        <w:tc>
          <w:tcPr>
            <w:tcW w:w="692"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100</w:t>
            </w:r>
          </w:p>
        </w:tc>
        <w:tc>
          <w:tcPr>
            <w:tcW w:w="567"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　</w:t>
            </w:r>
          </w:p>
        </w:tc>
        <w:tc>
          <w:tcPr>
            <w:tcW w:w="567"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100</w:t>
            </w:r>
          </w:p>
        </w:tc>
        <w:tc>
          <w:tcPr>
            <w:tcW w:w="122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　</w:t>
            </w:r>
          </w:p>
        </w:tc>
        <w:tc>
          <w:tcPr>
            <w:tcW w:w="66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100</w:t>
            </w:r>
          </w:p>
        </w:tc>
        <w:tc>
          <w:tcPr>
            <w:tcW w:w="1512"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　</w:t>
            </w:r>
          </w:p>
        </w:tc>
        <w:tc>
          <w:tcPr>
            <w:tcW w:w="3828"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　</w:t>
            </w:r>
          </w:p>
        </w:tc>
      </w:tr>
      <w:tr>
        <w:tblPrEx>
          <w:tblCellMar>
            <w:top w:w="0" w:type="dxa"/>
            <w:left w:w="108" w:type="dxa"/>
            <w:bottom w:w="0" w:type="dxa"/>
            <w:right w:w="108" w:type="dxa"/>
          </w:tblCellMar>
        </w:tblPrEx>
        <w:trPr>
          <w:trHeight w:val="600" w:hRule="atLeast"/>
        </w:trPr>
        <w:tc>
          <w:tcPr>
            <w:tcW w:w="457"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评价等次</w:t>
            </w:r>
          </w:p>
        </w:tc>
        <w:tc>
          <w:tcPr>
            <w:tcW w:w="9056" w:type="dxa"/>
            <w:gridSpan w:val="7"/>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□优秀85分≤得分≤100分；□良好70分≤得分&lt;85分；□一般60分≤得分&lt;70分；□较差得分&lt;60分</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穝灿砰">
    <w:altName w:val="宋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ˎ̥,Verdana,Arial">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E08979"/>
    <w:multiLevelType w:val="singleLevel"/>
    <w:tmpl w:val="7DE08979"/>
    <w:lvl w:ilvl="0" w:tentative="0">
      <w:start w:val="4"/>
      <w:numFmt w:val="chineseCounting"/>
      <w:suff w:val="nothing"/>
      <w:lvlText w:val="（%1）"/>
      <w:lvlJc w:val="left"/>
      <w:pPr>
        <w:ind w:left="-1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yMThiMmFkYTUxZDBkYWMyZDg5ZjU1NjRjZDZkOGQifQ=="/>
  </w:docVars>
  <w:rsids>
    <w:rsidRoot w:val="6F0B2A94"/>
    <w:rsid w:val="147504E0"/>
    <w:rsid w:val="1B67654F"/>
    <w:rsid w:val="4D1D485F"/>
    <w:rsid w:val="4E6B4752"/>
    <w:rsid w:val="6F0B2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104" w:beforeLines="0" w:beforeAutospacing="0" w:after="104" w:afterLines="0" w:afterAutospacing="0" w:line="0" w:lineRule="atLeast"/>
      <w:ind w:firstLine="0" w:firstLineChars="0"/>
      <w:jc w:val="center"/>
      <w:outlineLvl w:val="0"/>
    </w:pPr>
    <w:rPr>
      <w:rFonts w:ascii="Arial" w:hAnsi="Arial" w:eastAsia="穝灿砰"/>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7138</Words>
  <Characters>7594</Characters>
  <Lines>0</Lines>
  <Paragraphs>0</Paragraphs>
  <TotalTime>0</TotalTime>
  <ScaleCrop>false</ScaleCrop>
  <LinksUpToDate>false</LinksUpToDate>
  <CharactersWithSpaces>8396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2022-08-17T08:04:00Z</dcterms:created>
  <dc:creator>糖果美妞妈咪</dc:creator>
  <cp:lastModifiedBy>Administrator</cp:lastModifiedBy>
  <dcterms:modified xsi:type="dcterms:W3CDTF">2023-03-30T02:39:37Z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4E21AC6FF6124FCA8138F4600BBB9DE5</vt:lpwstr>
  </property>
</Properties>
</file>