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eastAsiaTheme="minorEastAsia"/>
          <w:sz w:val="32"/>
          <w:szCs w:val="32"/>
          <w:lang w:val="en-US" w:eastAsia="zh-CN"/>
        </w:rPr>
      </w:pPr>
      <w:bookmarkStart w:id="0" w:name="_Toc16045"/>
      <w:bookmarkStart w:id="1" w:name="_Toc13505"/>
      <w:r>
        <w:rPr>
          <w:rFonts w:hint="eastAsia"/>
          <w:sz w:val="32"/>
          <w:szCs w:val="32"/>
        </w:rPr>
        <w:t>曲沃县</w:t>
      </w:r>
      <w:r>
        <w:rPr>
          <w:rFonts w:hint="eastAsia"/>
          <w:sz w:val="32"/>
          <w:szCs w:val="32"/>
          <w:lang w:val="en-US" w:eastAsia="zh-CN"/>
        </w:rPr>
        <w:t>水利局</w:t>
      </w:r>
    </w:p>
    <w:p>
      <w:pPr>
        <w:pStyle w:val="3"/>
        <w:rPr>
          <w:kern w:val="0"/>
          <w:sz w:val="32"/>
          <w:szCs w:val="32"/>
        </w:rPr>
      </w:pPr>
      <w:r>
        <w:rPr>
          <w:rFonts w:hint="eastAsia"/>
          <w:sz w:val="32"/>
          <w:szCs w:val="32"/>
        </w:rPr>
        <w:t>债券存续期信息公示</w:t>
      </w:r>
      <w:bookmarkEnd w:id="0"/>
      <w:bookmarkEnd w:id="1"/>
    </w:p>
    <w:p>
      <w:pPr>
        <w:spacing w:line="600" w:lineRule="exact"/>
        <w:ind w:firstLine="562" w:firstLineChars="200"/>
        <w:rPr>
          <w:b/>
          <w:sz w:val="28"/>
          <w:szCs w:val="28"/>
        </w:rPr>
      </w:pPr>
      <w:r>
        <w:rPr>
          <w:rFonts w:hint="eastAsia"/>
          <w:b/>
          <w:sz w:val="28"/>
          <w:szCs w:val="28"/>
        </w:rPr>
        <w:t>一、债券资金使用单位</w:t>
      </w:r>
    </w:p>
    <w:p>
      <w:pPr>
        <w:spacing w:line="600" w:lineRule="exact"/>
        <w:ind w:firstLine="560" w:firstLineChars="200"/>
        <w:rPr>
          <w:sz w:val="28"/>
          <w:szCs w:val="28"/>
        </w:rPr>
      </w:pPr>
      <w:r>
        <w:rPr>
          <w:rFonts w:hint="eastAsia" w:cs="Times New Roman"/>
          <w:sz w:val="28"/>
          <w:szCs w:val="28"/>
        </w:rPr>
        <w:t>本次信息公示所涉债券资金的使用单位</w:t>
      </w:r>
      <w:r>
        <w:rPr>
          <w:rFonts w:hint="eastAsia"/>
          <w:sz w:val="28"/>
          <w:szCs w:val="28"/>
        </w:rPr>
        <w:t>：</w:t>
      </w:r>
      <w:r>
        <w:rPr>
          <w:rFonts w:hint="eastAsia"/>
          <w:sz w:val="28"/>
          <w:szCs w:val="28"/>
          <w:u w:val="single"/>
        </w:rPr>
        <w:t>曲沃县</w:t>
      </w:r>
      <w:r>
        <w:rPr>
          <w:rFonts w:hint="eastAsia"/>
          <w:sz w:val="28"/>
          <w:szCs w:val="28"/>
          <w:u w:val="single"/>
          <w:lang w:val="en-US" w:eastAsia="zh-CN"/>
        </w:rPr>
        <w:t>水利局</w:t>
      </w:r>
      <w:r>
        <w:rPr>
          <w:rFonts w:hint="eastAsia"/>
          <w:sz w:val="28"/>
          <w:szCs w:val="28"/>
        </w:rPr>
        <w:t>。本单位依法取得了《统一社会信用代码证书》。基本信息如下：</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机构名称</w:t>
            </w:r>
          </w:p>
        </w:tc>
        <w:tc>
          <w:tcPr>
            <w:tcW w:w="5858" w:type="dxa"/>
            <w:noWrap/>
            <w:vAlign w:val="center"/>
          </w:tcPr>
          <w:p>
            <w:pPr>
              <w:spacing w:line="600" w:lineRule="exact"/>
              <w:jc w:val="center"/>
              <w:rPr>
                <w:rFonts w:hint="eastAsia" w:eastAsiaTheme="minorEastAsia"/>
                <w:sz w:val="28"/>
                <w:szCs w:val="28"/>
                <w:lang w:val="en-US" w:eastAsia="zh-CN"/>
              </w:rPr>
            </w:pPr>
            <w:r>
              <w:rPr>
                <w:rFonts w:hint="eastAsia"/>
                <w:sz w:val="28"/>
                <w:szCs w:val="28"/>
              </w:rPr>
              <w:t>曲沃县</w:t>
            </w:r>
            <w:r>
              <w:rPr>
                <w:rFonts w:hint="eastAsia"/>
                <w:sz w:val="28"/>
                <w:szCs w:val="28"/>
                <w:lang w:val="en-US" w:eastAsia="zh-CN"/>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机构性质</w:t>
            </w:r>
          </w:p>
        </w:tc>
        <w:tc>
          <w:tcPr>
            <w:tcW w:w="5858" w:type="dxa"/>
            <w:noWrap/>
            <w:vAlign w:val="center"/>
          </w:tcPr>
          <w:p>
            <w:pPr>
              <w:spacing w:line="600" w:lineRule="exact"/>
              <w:jc w:val="center"/>
              <w:rPr>
                <w:rFonts w:hint="eastAsia" w:eastAsiaTheme="minorEastAsia"/>
                <w:sz w:val="28"/>
                <w:szCs w:val="28"/>
                <w:lang w:val="en-US" w:eastAsia="zh-CN"/>
              </w:rPr>
            </w:pPr>
            <w:r>
              <w:rPr>
                <w:rFonts w:hint="eastAsia"/>
                <w:sz w:val="28"/>
                <w:szCs w:val="28"/>
                <w:lang w:val="en-US" w:eastAsia="zh-CN"/>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统一社会信用代码</w:t>
            </w:r>
          </w:p>
        </w:tc>
        <w:tc>
          <w:tcPr>
            <w:tcW w:w="5858" w:type="dxa"/>
            <w:noWrap/>
            <w:vAlign w:val="center"/>
          </w:tcPr>
          <w:p>
            <w:pPr>
              <w:spacing w:line="600" w:lineRule="exact"/>
              <w:jc w:val="center"/>
              <w:rPr>
                <w:rFonts w:hint="default" w:eastAsiaTheme="minorEastAsia"/>
                <w:sz w:val="28"/>
                <w:szCs w:val="28"/>
                <w:lang w:val="en-US" w:eastAsia="zh-CN"/>
              </w:rPr>
            </w:pPr>
            <w:r>
              <w:rPr>
                <w:rFonts w:hint="eastAsia"/>
                <w:sz w:val="28"/>
                <w:szCs w:val="28"/>
              </w:rPr>
              <w:t>1</w:t>
            </w:r>
            <w:r>
              <w:rPr>
                <w:rFonts w:hint="eastAsia"/>
                <w:sz w:val="28"/>
                <w:szCs w:val="28"/>
                <w:lang w:val="en-US" w:eastAsia="zh-CN"/>
              </w:rPr>
              <w:t>11409210128001523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机构地址</w:t>
            </w:r>
          </w:p>
        </w:tc>
        <w:tc>
          <w:tcPr>
            <w:tcW w:w="5858" w:type="dxa"/>
            <w:noWrap/>
            <w:vAlign w:val="center"/>
          </w:tcPr>
          <w:p>
            <w:pPr>
              <w:spacing w:line="600" w:lineRule="exact"/>
              <w:jc w:val="center"/>
              <w:rPr>
                <w:rFonts w:hint="default" w:eastAsiaTheme="minorEastAsia"/>
                <w:sz w:val="28"/>
                <w:szCs w:val="28"/>
                <w:lang w:val="en-US" w:eastAsia="zh-CN"/>
              </w:rPr>
            </w:pPr>
            <w:r>
              <w:rPr>
                <w:rFonts w:hint="eastAsia"/>
                <w:sz w:val="28"/>
                <w:szCs w:val="28"/>
              </w:rPr>
              <w:t>曲沃县</w:t>
            </w:r>
            <w:r>
              <w:rPr>
                <w:rFonts w:hint="eastAsia"/>
                <w:sz w:val="28"/>
                <w:szCs w:val="28"/>
                <w:lang w:val="en-US" w:eastAsia="zh-CN"/>
              </w:rPr>
              <w:t>晋都北路八十八号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负责人</w:t>
            </w:r>
          </w:p>
        </w:tc>
        <w:tc>
          <w:tcPr>
            <w:tcW w:w="5858" w:type="dxa"/>
            <w:noWrap/>
            <w:vAlign w:val="center"/>
          </w:tcPr>
          <w:p>
            <w:pPr>
              <w:spacing w:line="600" w:lineRule="exact"/>
              <w:jc w:val="center"/>
              <w:rPr>
                <w:sz w:val="28"/>
                <w:szCs w:val="28"/>
              </w:rPr>
            </w:pPr>
            <w:r>
              <w:rPr>
                <w:rFonts w:hint="eastAsia"/>
                <w:sz w:val="28"/>
                <w:szCs w:val="28"/>
                <w:lang w:val="en-US" w:eastAsia="zh-CN"/>
              </w:rPr>
              <w:t>朱建宏</w:t>
            </w:r>
            <w:r>
              <w:rPr>
                <w:rFonts w:hint="eastAsia"/>
                <w:sz w:val="28"/>
                <w:szCs w:val="28"/>
              </w:rPr>
              <w:t xml:space="preserve"> </w:t>
            </w:r>
          </w:p>
        </w:tc>
      </w:tr>
    </w:tbl>
    <w:p>
      <w:pPr>
        <w:spacing w:line="600" w:lineRule="exact"/>
        <w:ind w:firstLine="562" w:firstLineChars="200"/>
        <w:rPr>
          <w:b/>
          <w:sz w:val="28"/>
          <w:szCs w:val="28"/>
        </w:rPr>
      </w:pPr>
      <w:r>
        <w:rPr>
          <w:rFonts w:hint="eastAsia"/>
          <w:b/>
          <w:sz w:val="28"/>
          <w:szCs w:val="28"/>
        </w:rPr>
        <w:t>二、债券资金拨付情况</w:t>
      </w:r>
    </w:p>
    <w:p>
      <w:pPr>
        <w:spacing w:line="600" w:lineRule="exact"/>
        <w:ind w:firstLine="560" w:firstLineChars="200"/>
        <w:rPr>
          <w:rFonts w:hint="eastAsia" w:eastAsiaTheme="minorEastAsia"/>
          <w:sz w:val="28"/>
          <w:szCs w:val="28"/>
          <w:lang w:eastAsia="zh-CN"/>
        </w:rPr>
      </w:pPr>
      <w:r>
        <w:rPr>
          <w:rFonts w:hint="eastAsia"/>
          <w:sz w:val="28"/>
          <w:szCs w:val="28"/>
        </w:rPr>
        <w:t>20</w:t>
      </w:r>
      <w:r>
        <w:rPr>
          <w:rFonts w:hint="eastAsia"/>
          <w:sz w:val="28"/>
          <w:szCs w:val="28"/>
          <w:lang w:val="en-US" w:eastAsia="zh-CN"/>
        </w:rPr>
        <w:t>22</w:t>
      </w:r>
      <w:r>
        <w:rPr>
          <w:rFonts w:hint="eastAsia"/>
          <w:sz w:val="28"/>
          <w:szCs w:val="28"/>
        </w:rPr>
        <w:t>年度，</w:t>
      </w:r>
      <w:r>
        <w:rPr>
          <w:rFonts w:hint="eastAsia"/>
          <w:sz w:val="28"/>
          <w:szCs w:val="28"/>
          <w:u w:val="single"/>
        </w:rPr>
        <w:t>曲沃县</w:t>
      </w:r>
      <w:r>
        <w:rPr>
          <w:rFonts w:hint="eastAsia"/>
          <w:sz w:val="28"/>
          <w:szCs w:val="28"/>
          <w:u w:val="single"/>
          <w:lang w:val="en-US" w:eastAsia="zh-CN"/>
        </w:rPr>
        <w:t>农村规模化集中供水工程项目</w:t>
      </w:r>
      <w:r>
        <w:rPr>
          <w:rFonts w:hint="eastAsia"/>
          <w:sz w:val="28"/>
          <w:szCs w:val="28"/>
        </w:rPr>
        <w:t>共收到拨付的</w:t>
      </w:r>
      <w:r>
        <w:rPr>
          <w:rFonts w:hint="eastAsia"/>
          <w:sz w:val="28"/>
          <w:szCs w:val="28"/>
          <w:lang w:val="en-US" w:eastAsia="zh-CN"/>
        </w:rPr>
        <w:t>专项</w:t>
      </w:r>
      <w:r>
        <w:rPr>
          <w:rFonts w:hint="eastAsia"/>
          <w:sz w:val="28"/>
          <w:szCs w:val="28"/>
        </w:rPr>
        <w:t>债券资金</w:t>
      </w:r>
      <w:r>
        <w:rPr>
          <w:rFonts w:hint="eastAsia"/>
          <w:sz w:val="28"/>
          <w:szCs w:val="28"/>
          <w:lang w:val="en-US" w:eastAsia="zh-CN"/>
        </w:rPr>
        <w:t>15000</w:t>
      </w:r>
      <w:r>
        <w:rPr>
          <w:rFonts w:hint="eastAsia"/>
          <w:sz w:val="28"/>
          <w:szCs w:val="28"/>
        </w:rPr>
        <w:t>万元</w:t>
      </w:r>
      <w:r>
        <w:rPr>
          <w:rFonts w:hint="eastAsia"/>
          <w:sz w:val="28"/>
          <w:szCs w:val="28"/>
          <w:lang w:eastAsia="zh-CN"/>
        </w:rPr>
        <w:t>。</w:t>
      </w:r>
    </w:p>
    <w:p>
      <w:pPr>
        <w:spacing w:line="600" w:lineRule="exact"/>
        <w:ind w:firstLine="562" w:firstLineChars="200"/>
        <w:rPr>
          <w:b/>
          <w:sz w:val="28"/>
          <w:szCs w:val="28"/>
        </w:rPr>
      </w:pPr>
      <w:r>
        <w:rPr>
          <w:rFonts w:hint="eastAsia"/>
          <w:b/>
          <w:sz w:val="28"/>
          <w:szCs w:val="28"/>
        </w:rPr>
        <w:t>三、债券资金使用情况</w:t>
      </w:r>
    </w:p>
    <w:p>
      <w:pPr>
        <w:spacing w:line="600" w:lineRule="exact"/>
        <w:ind w:firstLine="560" w:firstLineChars="200"/>
        <w:rPr>
          <w:sz w:val="28"/>
          <w:szCs w:val="28"/>
        </w:rPr>
      </w:pPr>
      <w:r>
        <w:rPr>
          <w:rFonts w:hint="eastAsia"/>
          <w:sz w:val="28"/>
          <w:szCs w:val="28"/>
        </w:rPr>
        <w:t>截止20</w:t>
      </w:r>
      <w:r>
        <w:rPr>
          <w:rFonts w:hint="eastAsia"/>
          <w:sz w:val="28"/>
          <w:szCs w:val="28"/>
          <w:lang w:val="en-US" w:eastAsia="zh-CN"/>
        </w:rPr>
        <w:t>22</w:t>
      </w:r>
      <w:r>
        <w:rPr>
          <w:rFonts w:hint="eastAsia"/>
          <w:sz w:val="28"/>
          <w:szCs w:val="28"/>
        </w:rPr>
        <w:t>年</w:t>
      </w:r>
      <w:r>
        <w:rPr>
          <w:rFonts w:hint="eastAsia"/>
          <w:sz w:val="28"/>
          <w:szCs w:val="28"/>
          <w:lang w:val="en-US" w:eastAsia="zh-CN"/>
        </w:rPr>
        <w:t>8</w:t>
      </w:r>
      <w:r>
        <w:rPr>
          <w:rFonts w:hint="eastAsia"/>
          <w:sz w:val="28"/>
          <w:szCs w:val="28"/>
        </w:rPr>
        <w:t>月3</w:t>
      </w:r>
      <w:r>
        <w:rPr>
          <w:sz w:val="28"/>
          <w:szCs w:val="28"/>
        </w:rPr>
        <w:t>1</w:t>
      </w:r>
      <w:r>
        <w:rPr>
          <w:rFonts w:hint="eastAsia"/>
          <w:sz w:val="28"/>
          <w:szCs w:val="28"/>
        </w:rPr>
        <w:t>日，曲沃县</w:t>
      </w:r>
      <w:r>
        <w:rPr>
          <w:rFonts w:hint="eastAsia"/>
          <w:sz w:val="28"/>
          <w:szCs w:val="28"/>
          <w:lang w:val="en-US" w:eastAsia="zh-CN"/>
        </w:rPr>
        <w:t>农村规模化集中供水工程项目，</w:t>
      </w:r>
      <w:r>
        <w:rPr>
          <w:rFonts w:hint="eastAsia"/>
          <w:sz w:val="28"/>
          <w:szCs w:val="28"/>
        </w:rPr>
        <w:t>项目债券资金</w:t>
      </w:r>
      <w:r>
        <w:rPr>
          <w:rFonts w:hint="eastAsia"/>
          <w:sz w:val="28"/>
          <w:szCs w:val="28"/>
          <w:lang w:val="en-US" w:eastAsia="zh-CN"/>
        </w:rPr>
        <w:t>全部支付完毕</w:t>
      </w:r>
      <w:r>
        <w:rPr>
          <w:rFonts w:hint="eastAsia"/>
          <w:sz w:val="28"/>
          <w:szCs w:val="28"/>
        </w:rPr>
        <w:t>。</w:t>
      </w:r>
    </w:p>
    <w:tbl>
      <w:tblPr>
        <w:tblStyle w:val="7"/>
        <w:tblW w:w="8336" w:type="dxa"/>
        <w:jc w:val="center"/>
        <w:tblLayout w:type="fixed"/>
        <w:tblCellMar>
          <w:top w:w="0" w:type="dxa"/>
          <w:left w:w="0" w:type="dxa"/>
          <w:bottom w:w="0" w:type="dxa"/>
          <w:right w:w="0" w:type="dxa"/>
        </w:tblCellMar>
      </w:tblPr>
      <w:tblGrid>
        <w:gridCol w:w="723"/>
        <w:gridCol w:w="1300"/>
        <w:gridCol w:w="4521"/>
        <w:gridCol w:w="1792"/>
      </w:tblGrid>
      <w:tr>
        <w:tblPrEx>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1300"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4521"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1792" w:type="dxa"/>
            <w:tcBorders>
              <w:top w:val="nil"/>
              <w:left w:val="nil"/>
              <w:bottom w:val="single" w:color="000000" w:sz="8" w:space="0"/>
              <w:right w:val="nil"/>
            </w:tcBorders>
            <w:shd w:val="clear" w:color="auto" w:fill="auto"/>
            <w:noWrap/>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 xml:space="preserve">金额单位：万元 </w:t>
            </w:r>
          </w:p>
        </w:tc>
      </w:tr>
      <w:tr>
        <w:tblPrEx>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金 额</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2022.8</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val="en-US" w:eastAsia="zh-CN"/>
              </w:rPr>
            </w:pPr>
            <w:r>
              <w:rPr>
                <w:rFonts w:hint="eastAsia"/>
                <w:color w:val="000000"/>
                <w:sz w:val="20"/>
                <w:szCs w:val="20"/>
                <w:lang w:val="en-US" w:eastAsia="zh-CN"/>
              </w:rPr>
              <w:t>水厂建设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3347</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rPr>
              <w:t>20</w:t>
            </w:r>
            <w:r>
              <w:rPr>
                <w:rFonts w:hint="eastAsia"/>
                <w:color w:val="000000"/>
                <w:sz w:val="20"/>
                <w:szCs w:val="20"/>
                <w:lang w:val="en-US" w:eastAsia="zh-CN"/>
              </w:rPr>
              <w:t>22.8</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val="en-US" w:eastAsia="zh-CN"/>
              </w:rPr>
            </w:pPr>
            <w:r>
              <w:rPr>
                <w:rFonts w:hint="eastAsia"/>
                <w:color w:val="000000"/>
                <w:sz w:val="20"/>
                <w:szCs w:val="20"/>
                <w:lang w:val="en-US" w:eastAsia="zh-CN"/>
              </w:rPr>
              <w:t>配水管网建设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9407</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rPr>
              <w:t>20</w:t>
            </w:r>
            <w:r>
              <w:rPr>
                <w:rFonts w:hint="eastAsia"/>
                <w:color w:val="000000"/>
                <w:sz w:val="20"/>
                <w:szCs w:val="20"/>
                <w:lang w:val="en-US" w:eastAsia="zh-CN"/>
              </w:rPr>
              <w:t>22.8</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输水管网建设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1896</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2022.8</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前期费用</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350</w:t>
            </w:r>
          </w:p>
        </w:tc>
      </w:tr>
      <w:tr>
        <w:tblPrEx>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noWrap/>
            <w:tcMar>
              <w:top w:w="15" w:type="dxa"/>
              <w:left w:w="15" w:type="dxa"/>
              <w:right w:w="15" w:type="dxa"/>
            </w:tcMar>
            <w:vAlign w:val="center"/>
          </w:tcPr>
          <w:p>
            <w:pPr>
              <w:jc w:val="center"/>
              <w:textAlignment w:val="bottom"/>
              <w:rPr>
                <w:color w:val="000000"/>
                <w:sz w:val="20"/>
                <w:szCs w:val="20"/>
              </w:rPr>
            </w:pPr>
            <w:r>
              <w:rPr>
                <w:rFonts w:hint="eastAsia"/>
                <w:b/>
                <w:color w:val="000000"/>
                <w:sz w:val="20"/>
                <w:szCs w:val="20"/>
              </w:rPr>
              <w:t>合 计</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rPr>
              <w:t>1</w:t>
            </w:r>
            <w:r>
              <w:rPr>
                <w:rFonts w:hint="eastAsia"/>
                <w:color w:val="000000"/>
                <w:sz w:val="20"/>
                <w:szCs w:val="20"/>
                <w:lang w:val="en-US" w:eastAsia="zh-CN"/>
              </w:rPr>
              <w:t>5000</w:t>
            </w:r>
          </w:p>
        </w:tc>
      </w:tr>
    </w:tbl>
    <w:p>
      <w:pPr>
        <w:adjustRightInd w:val="0"/>
        <w:snapToGrid w:val="0"/>
        <w:spacing w:line="600" w:lineRule="exact"/>
        <w:rPr>
          <w:sz w:val="28"/>
          <w:szCs w:val="28"/>
        </w:rPr>
      </w:pPr>
      <w:r>
        <w:rPr>
          <w:rFonts w:hint="eastAsia"/>
          <w:bCs/>
          <w:sz w:val="28"/>
          <w:szCs w:val="28"/>
        </w:rPr>
        <w:t>本单位严格按照债券资金规定用途使用，不存在资金用途调整情况。</w:t>
      </w:r>
    </w:p>
    <w:p>
      <w:pPr>
        <w:spacing w:line="600" w:lineRule="exact"/>
        <w:ind w:firstLine="562" w:firstLineChars="200"/>
        <w:rPr>
          <w:b/>
          <w:bCs/>
          <w:sz w:val="28"/>
          <w:szCs w:val="28"/>
        </w:rPr>
      </w:pPr>
      <w:r>
        <w:rPr>
          <w:rFonts w:hint="eastAsia"/>
          <w:b/>
          <w:bCs/>
          <w:sz w:val="28"/>
          <w:szCs w:val="28"/>
        </w:rPr>
        <w:t>四、债券资金对应的投资项目</w:t>
      </w:r>
    </w:p>
    <w:p>
      <w:pPr>
        <w:spacing w:line="600" w:lineRule="exact"/>
        <w:ind w:firstLine="560" w:firstLineChars="200"/>
        <w:rPr>
          <w:bCs/>
          <w:sz w:val="28"/>
          <w:szCs w:val="28"/>
        </w:rPr>
      </w:pPr>
      <w:r>
        <w:rPr>
          <w:rFonts w:hint="eastAsia"/>
          <w:bCs/>
          <w:sz w:val="28"/>
          <w:szCs w:val="28"/>
        </w:rPr>
        <w:t>一般债券资金对应的投资项目</w:t>
      </w:r>
      <w:r>
        <w:rPr>
          <w:rFonts w:hint="eastAsia"/>
          <w:bCs/>
          <w:sz w:val="28"/>
          <w:szCs w:val="28"/>
          <w:lang w:val="en-US" w:eastAsia="zh-CN"/>
        </w:rPr>
        <w:t>为曲沃县农村规模化集中供水工程项目</w:t>
      </w:r>
      <w:r>
        <w:rPr>
          <w:rFonts w:hint="eastAsia"/>
          <w:bCs/>
          <w:sz w:val="28"/>
          <w:szCs w:val="28"/>
        </w:rPr>
        <w:t>。</w:t>
      </w:r>
    </w:p>
    <w:p>
      <w:pPr>
        <w:spacing w:line="600" w:lineRule="exact"/>
        <w:ind w:firstLine="562" w:firstLineChars="200"/>
        <w:rPr>
          <w:b/>
          <w:bCs/>
          <w:sz w:val="28"/>
          <w:szCs w:val="28"/>
        </w:rPr>
      </w:pPr>
      <w:r>
        <w:rPr>
          <w:rFonts w:hint="eastAsia"/>
          <w:b/>
          <w:bCs/>
          <w:sz w:val="28"/>
          <w:szCs w:val="28"/>
        </w:rPr>
        <w:t>1.项目基本情况</w:t>
      </w:r>
    </w:p>
    <w:p>
      <w:pPr>
        <w:pStyle w:val="2"/>
        <w:numPr>
          <w:ilvl w:val="0"/>
          <w:numId w:val="0"/>
        </w:numPr>
        <w:ind w:firstLine="560" w:firstLineChars="200"/>
        <w:jc w:val="both"/>
        <w:rPr>
          <w:rFonts w:hint="eastAsia" w:ascii="宋体" w:hAnsi="宋体" w:eastAsia="宋体" w:cs="宋体"/>
          <w:sz w:val="28"/>
          <w:szCs w:val="28"/>
          <w:lang w:val="en-US" w:eastAsia="zh-CN"/>
        </w:rPr>
      </w:pPr>
      <w:r>
        <w:rPr>
          <w:rFonts w:hint="eastAsia"/>
          <w:color w:val="000000" w:themeColor="text1"/>
          <w:sz w:val="28"/>
          <w:szCs w:val="28"/>
        </w:rPr>
        <w:t>曲沃县</w:t>
      </w:r>
      <w:r>
        <w:rPr>
          <w:rFonts w:hint="eastAsia"/>
          <w:color w:val="000000" w:themeColor="text1"/>
          <w:sz w:val="28"/>
          <w:szCs w:val="28"/>
          <w:lang w:val="en-US" w:eastAsia="zh-CN"/>
        </w:rPr>
        <w:t>农村规模化集中供水工程</w:t>
      </w:r>
      <w:r>
        <w:rPr>
          <w:rFonts w:hint="eastAsia"/>
          <w:color w:val="000000" w:themeColor="text1"/>
          <w:sz w:val="28"/>
          <w:szCs w:val="28"/>
        </w:rPr>
        <w:t>项目</w:t>
      </w:r>
      <w:r>
        <w:rPr>
          <w:rFonts w:hint="eastAsia"/>
          <w:color w:val="000000" w:themeColor="text1"/>
          <w:sz w:val="28"/>
          <w:szCs w:val="28"/>
          <w:lang w:eastAsia="zh-CN"/>
        </w:rPr>
        <w:t>，</w:t>
      </w:r>
      <w:r>
        <w:rPr>
          <w:rFonts w:hint="eastAsia"/>
          <w:color w:val="000000" w:themeColor="text1"/>
          <w:sz w:val="28"/>
          <w:szCs w:val="28"/>
          <w:lang w:val="en-US" w:eastAsia="zh-CN"/>
        </w:rPr>
        <w:t>项目水厂主体建设位于曲沃县里村镇新城村，项目管道工程覆盖曲村镇、里村镇、杨谈乡、史村镇、高显镇。</w:t>
      </w:r>
      <w:r>
        <w:rPr>
          <w:rFonts w:hint="eastAsia"/>
          <w:color w:val="000000" w:themeColor="text1"/>
          <w:sz w:val="28"/>
          <w:szCs w:val="28"/>
        </w:rPr>
        <w:t>项目建设内容为</w:t>
      </w:r>
      <w:r>
        <w:rPr>
          <w:rFonts w:hint="eastAsia" w:ascii="宋体" w:hAnsi="宋体" w:eastAsia="宋体" w:cs="宋体"/>
          <w:sz w:val="28"/>
          <w:szCs w:val="28"/>
          <w:lang w:val="en-US" w:eastAsia="zh-CN"/>
        </w:rPr>
        <w:t>（1）水厂工程：建（构）筑物包括进水水池、净水车间、加氯间、清水池泵房、浓水池等，管理用房（含水质化验室）和锅炉房及其他配套设施和设备</w:t>
      </w:r>
      <w:r>
        <w:rPr>
          <w:rFonts w:hint="eastAsia" w:hAnsi="宋体" w:eastAsia="宋体" w:cs="宋体"/>
          <w:sz w:val="28"/>
          <w:szCs w:val="28"/>
          <w:lang w:val="en-US" w:eastAsia="zh-CN"/>
        </w:rPr>
        <w:t>。（2）</w:t>
      </w:r>
      <w:r>
        <w:rPr>
          <w:rFonts w:hint="eastAsia" w:ascii="宋体" w:hAnsi="宋体" w:eastAsia="宋体" w:cs="宋体"/>
          <w:sz w:val="28"/>
          <w:szCs w:val="28"/>
          <w:lang w:val="en-US" w:eastAsia="zh-CN"/>
        </w:rPr>
        <w:t>主配水管道工程：</w:t>
      </w:r>
    </w:p>
    <w:p>
      <w:pPr>
        <w:pStyle w:val="2"/>
        <w:jc w:val="both"/>
        <w:rPr>
          <w:rFonts w:hint="eastAsia" w:ascii="宋体" w:hAnsi="宋体" w:eastAsia="宋体" w:cs="宋体"/>
          <w:sz w:val="28"/>
          <w:szCs w:val="28"/>
          <w:lang w:val="en-US" w:eastAsia="zh-CN"/>
        </w:rPr>
      </w:pPr>
      <w:r>
        <w:rPr>
          <w:rFonts w:hint="eastAsia" w:ascii="宋体" w:hAnsi="宋体" w:cs="宋体"/>
          <w:sz w:val="28"/>
          <w:szCs w:val="28"/>
          <w:lang w:val="en-US" w:eastAsia="zh-CN"/>
        </w:rPr>
        <w:t>主配水管道合计</w:t>
      </w:r>
      <w:r>
        <w:rPr>
          <w:rFonts w:hint="eastAsia" w:ascii="宋体" w:hAnsi="宋体" w:eastAsia="宋体" w:cs="宋体"/>
          <w:sz w:val="28"/>
          <w:szCs w:val="28"/>
          <w:lang w:val="en-US" w:eastAsia="zh-CN"/>
        </w:rPr>
        <w:t>525㎞，</w:t>
      </w:r>
      <w:r>
        <w:rPr>
          <w:rFonts w:hint="eastAsia" w:ascii="宋体" w:hAnsi="宋体" w:cs="宋体"/>
          <w:sz w:val="28"/>
          <w:szCs w:val="28"/>
          <w:lang w:val="en-US" w:eastAsia="zh-CN"/>
        </w:rPr>
        <w:t>其中干线管网206㎞，各受益村配水干线管道工程319㎞；（3）</w:t>
      </w:r>
      <w:r>
        <w:rPr>
          <w:rFonts w:hint="eastAsia" w:ascii="宋体" w:hAnsi="宋体" w:eastAsia="宋体" w:cs="宋体"/>
          <w:sz w:val="28"/>
          <w:szCs w:val="28"/>
          <w:lang w:val="en-US" w:eastAsia="zh-CN"/>
        </w:rPr>
        <w:t>智慧水务系统。</w:t>
      </w:r>
      <w:r>
        <w:rPr>
          <w:rFonts w:hint="eastAsia" w:ascii="宋体" w:hAnsi="宋体" w:cs="宋体"/>
          <w:bCs/>
          <w:sz w:val="28"/>
          <w:szCs w:val="28"/>
          <w:lang w:val="en-US" w:eastAsia="zh-CN" w:bidi="ar-SA"/>
        </w:rPr>
        <w:t>包含智慧水务功能应用体系，包含公共服务体系一套、产供水管理体系一套、外业管理体系一套、产销差体系一套以及驾驶舱管理体系一套，指调度中心基础硬件一套以及管网GIS基础硬件一套。</w:t>
      </w:r>
      <w:r>
        <w:rPr>
          <w:rFonts w:hint="eastAsia" w:ascii="宋体" w:hAnsi="宋体" w:eastAsia="宋体" w:cs="宋体"/>
          <w:sz w:val="28"/>
          <w:szCs w:val="28"/>
          <w:lang w:bidi="ar-SA"/>
        </w:rPr>
        <w:t>占地面积：水厂总占地10165.11m</w:t>
      </w:r>
      <w:r>
        <w:rPr>
          <w:rFonts w:hint="eastAsia" w:ascii="宋体" w:hAnsi="宋体" w:eastAsia="宋体" w:cs="宋体"/>
          <w:sz w:val="28"/>
          <w:szCs w:val="28"/>
          <w:vertAlign w:val="superscript"/>
          <w:lang w:bidi="ar-SA"/>
        </w:rPr>
        <w:t>2</w:t>
      </w:r>
      <w:r>
        <w:rPr>
          <w:rFonts w:hint="eastAsia" w:ascii="宋体" w:hAnsi="宋体" w:eastAsia="宋体" w:cs="宋体"/>
          <w:sz w:val="28"/>
          <w:szCs w:val="28"/>
          <w:lang w:bidi="ar-SA"/>
        </w:rPr>
        <w:t>，场外道路占地750m</w:t>
      </w:r>
      <w:r>
        <w:rPr>
          <w:rFonts w:hint="eastAsia" w:ascii="宋体" w:hAnsi="宋体" w:eastAsia="宋体" w:cs="宋体"/>
          <w:sz w:val="28"/>
          <w:szCs w:val="28"/>
          <w:vertAlign w:val="superscript"/>
          <w:lang w:bidi="ar-SA"/>
        </w:rPr>
        <w:t>2</w:t>
      </w:r>
    </w:p>
    <w:p>
      <w:pPr>
        <w:spacing w:line="600" w:lineRule="exact"/>
        <w:ind w:firstLine="560" w:firstLineChars="200"/>
        <w:rPr>
          <w:color w:val="FF0000"/>
          <w:sz w:val="28"/>
          <w:szCs w:val="28"/>
        </w:rPr>
      </w:pPr>
    </w:p>
    <w:p>
      <w:pPr>
        <w:spacing w:line="600" w:lineRule="exact"/>
        <w:ind w:firstLine="562" w:firstLineChars="200"/>
        <w:rPr>
          <w:b/>
          <w:bCs/>
          <w:sz w:val="28"/>
          <w:szCs w:val="28"/>
        </w:rPr>
      </w:pPr>
      <w:r>
        <w:rPr>
          <w:rFonts w:hint="eastAsia"/>
          <w:b/>
          <w:bCs/>
          <w:sz w:val="28"/>
          <w:szCs w:val="28"/>
        </w:rPr>
        <w:t>2.项目投资及资金来源</w:t>
      </w:r>
    </w:p>
    <w:p>
      <w:pPr>
        <w:spacing w:line="600" w:lineRule="exact"/>
        <w:ind w:firstLine="560" w:firstLineChars="200"/>
        <w:rPr>
          <w:rFonts w:hint="default" w:eastAsiaTheme="minorEastAsia"/>
          <w:sz w:val="28"/>
          <w:szCs w:val="28"/>
          <w:lang w:val="en-US" w:eastAsia="zh-CN"/>
        </w:rPr>
      </w:pPr>
      <w:r>
        <w:rPr>
          <w:rFonts w:hint="eastAsia"/>
          <w:sz w:val="28"/>
          <w:szCs w:val="28"/>
        </w:rPr>
        <w:t>曲沃县</w:t>
      </w:r>
      <w:r>
        <w:rPr>
          <w:rFonts w:hint="eastAsia"/>
          <w:sz w:val="28"/>
          <w:szCs w:val="28"/>
          <w:lang w:val="en-US" w:eastAsia="zh-CN"/>
        </w:rPr>
        <w:t>农村规模化集中供水工程项目，</w:t>
      </w:r>
      <w:r>
        <w:rPr>
          <w:rFonts w:hint="eastAsia"/>
          <w:sz w:val="28"/>
          <w:szCs w:val="28"/>
        </w:rPr>
        <w:t>项目估算总投资</w:t>
      </w:r>
      <w:r>
        <w:rPr>
          <w:rFonts w:hint="eastAsia"/>
          <w:sz w:val="28"/>
          <w:szCs w:val="28"/>
          <w:lang w:val="en-US" w:eastAsia="zh-CN"/>
        </w:rPr>
        <w:t>24602.88</w:t>
      </w:r>
      <w:r>
        <w:rPr>
          <w:rFonts w:hint="eastAsia"/>
          <w:sz w:val="28"/>
          <w:szCs w:val="28"/>
        </w:rPr>
        <w:t>万元，资金来源：</w:t>
      </w:r>
      <w:r>
        <w:rPr>
          <w:rFonts w:hint="eastAsia"/>
          <w:sz w:val="28"/>
          <w:szCs w:val="28"/>
          <w:lang w:val="en-US" w:eastAsia="zh-CN"/>
        </w:rPr>
        <w:t>债券资金19600万元，财政资金2000万元，自筹资金3002.88万元</w:t>
      </w:r>
    </w:p>
    <w:p>
      <w:pPr>
        <w:spacing w:line="600" w:lineRule="exact"/>
        <w:ind w:firstLine="562" w:firstLineChars="200"/>
        <w:rPr>
          <w:b/>
          <w:bCs/>
          <w:sz w:val="28"/>
          <w:szCs w:val="28"/>
        </w:rPr>
      </w:pPr>
      <w:r>
        <w:rPr>
          <w:rFonts w:hint="eastAsia"/>
          <w:b/>
          <w:bCs/>
          <w:sz w:val="28"/>
          <w:szCs w:val="28"/>
        </w:rPr>
        <w:t>3.项目审批情况</w:t>
      </w:r>
    </w:p>
    <w:p>
      <w:pPr>
        <w:spacing w:line="600" w:lineRule="exact"/>
        <w:ind w:firstLine="560" w:firstLineChars="200"/>
        <w:rPr>
          <w:rFonts w:hint="default" w:eastAsiaTheme="minorEastAsia"/>
          <w:color w:val="FF0000"/>
          <w:sz w:val="28"/>
          <w:szCs w:val="28"/>
          <w:lang w:val="en-US" w:eastAsia="zh-CN"/>
        </w:rPr>
      </w:pPr>
      <w:r>
        <w:rPr>
          <w:rFonts w:hint="eastAsia"/>
          <w:color w:val="000000" w:themeColor="text1"/>
          <w:sz w:val="28"/>
          <w:szCs w:val="28"/>
        </w:rPr>
        <w:t>20</w:t>
      </w:r>
      <w:r>
        <w:rPr>
          <w:rFonts w:hint="eastAsia"/>
          <w:color w:val="000000" w:themeColor="text1"/>
          <w:sz w:val="28"/>
          <w:szCs w:val="28"/>
          <w:lang w:val="en-US" w:eastAsia="zh-CN"/>
        </w:rPr>
        <w:t>21</w:t>
      </w:r>
      <w:r>
        <w:rPr>
          <w:rFonts w:hint="eastAsia"/>
          <w:color w:val="000000" w:themeColor="text1"/>
          <w:sz w:val="28"/>
          <w:szCs w:val="28"/>
        </w:rPr>
        <w:t>年</w:t>
      </w:r>
      <w:r>
        <w:rPr>
          <w:rFonts w:hint="eastAsia"/>
          <w:color w:val="000000" w:themeColor="text1"/>
          <w:sz w:val="28"/>
          <w:szCs w:val="28"/>
          <w:lang w:val="en-US" w:eastAsia="zh-CN"/>
        </w:rPr>
        <w:t>4</w:t>
      </w:r>
      <w:r>
        <w:rPr>
          <w:rFonts w:hint="eastAsia"/>
          <w:color w:val="000000" w:themeColor="text1"/>
          <w:sz w:val="28"/>
          <w:szCs w:val="28"/>
        </w:rPr>
        <w:t>月</w:t>
      </w:r>
      <w:r>
        <w:rPr>
          <w:rFonts w:hint="eastAsia"/>
          <w:color w:val="000000" w:themeColor="text1"/>
          <w:sz w:val="28"/>
          <w:szCs w:val="28"/>
          <w:lang w:val="en-US" w:eastAsia="zh-CN"/>
        </w:rPr>
        <w:t>22</w:t>
      </w:r>
      <w:r>
        <w:rPr>
          <w:rFonts w:hint="eastAsia"/>
          <w:color w:val="000000" w:themeColor="text1"/>
          <w:sz w:val="28"/>
          <w:szCs w:val="28"/>
        </w:rPr>
        <w:t>日，</w:t>
      </w:r>
      <w:r>
        <w:rPr>
          <w:rFonts w:hint="eastAsia"/>
          <w:color w:val="000000" w:themeColor="text1"/>
          <w:sz w:val="28"/>
          <w:szCs w:val="28"/>
          <w:lang w:val="en-US" w:eastAsia="zh-CN"/>
        </w:rPr>
        <w:t>曲沃县财经委员会批复同意开展项目前期工作的函，曲财经办函【2021】7号，2021年12月30日曲沃县行政审批服务管理局批复项目可研报告，曲行政审批【2021】108号，2022年4月14日曲沃县行政审批服务管理局批复项目初设，曲行政审批【2022】54号，2021年5月27日取得项目用地预审与选址意见书，用字第141021202100006号。2021年4月19日社会稳定风险评估备案完成，2022年3月11项目环境影响报告批复，曲行政审批【2022】35号。</w:t>
      </w:r>
    </w:p>
    <w:p>
      <w:pPr>
        <w:spacing w:line="600" w:lineRule="exact"/>
        <w:ind w:firstLine="562" w:firstLineChars="200"/>
        <w:rPr>
          <w:b/>
          <w:bCs/>
          <w:sz w:val="28"/>
          <w:szCs w:val="28"/>
        </w:rPr>
      </w:pPr>
      <w:r>
        <w:rPr>
          <w:rFonts w:hint="eastAsia"/>
          <w:b/>
          <w:bCs/>
          <w:sz w:val="28"/>
          <w:szCs w:val="28"/>
        </w:rPr>
        <w:t>4.项目建设及进展情况</w:t>
      </w:r>
    </w:p>
    <w:p>
      <w:pPr>
        <w:keepNext/>
        <w:keepLines/>
        <w:spacing w:line="600" w:lineRule="exact"/>
        <w:ind w:firstLine="560" w:firstLineChars="200"/>
        <w:outlineLvl w:val="1"/>
        <w:rPr>
          <w:rFonts w:hint="default" w:eastAsiaTheme="minorEastAsia"/>
          <w:color w:val="000000" w:themeColor="text1"/>
          <w:sz w:val="28"/>
          <w:szCs w:val="28"/>
          <w:lang w:val="en-US" w:eastAsia="zh-CN"/>
        </w:rPr>
      </w:pPr>
      <w:r>
        <w:rPr>
          <w:rFonts w:hint="eastAsia"/>
          <w:color w:val="000000" w:themeColor="text1"/>
          <w:sz w:val="28"/>
          <w:szCs w:val="28"/>
        </w:rPr>
        <w:t>本项目于20</w:t>
      </w:r>
      <w:r>
        <w:rPr>
          <w:rFonts w:hint="eastAsia"/>
          <w:color w:val="000000" w:themeColor="text1"/>
          <w:sz w:val="28"/>
          <w:szCs w:val="28"/>
          <w:lang w:val="en-US" w:eastAsia="zh-CN"/>
        </w:rPr>
        <w:t>22</w:t>
      </w:r>
      <w:r>
        <w:rPr>
          <w:rFonts w:hint="eastAsia"/>
          <w:color w:val="000000" w:themeColor="text1"/>
          <w:sz w:val="28"/>
          <w:szCs w:val="28"/>
        </w:rPr>
        <w:t>年</w:t>
      </w:r>
      <w:r>
        <w:rPr>
          <w:rFonts w:hint="eastAsia"/>
          <w:color w:val="000000" w:themeColor="text1"/>
          <w:sz w:val="28"/>
          <w:szCs w:val="28"/>
          <w:lang w:val="en-US" w:eastAsia="zh-CN"/>
        </w:rPr>
        <w:t>7</w:t>
      </w:r>
      <w:r>
        <w:rPr>
          <w:rFonts w:hint="eastAsia"/>
          <w:color w:val="000000" w:themeColor="text1"/>
          <w:sz w:val="28"/>
          <w:szCs w:val="28"/>
        </w:rPr>
        <w:t>月开工建设截止20</w:t>
      </w:r>
      <w:r>
        <w:rPr>
          <w:rFonts w:hint="eastAsia"/>
          <w:color w:val="000000" w:themeColor="text1"/>
          <w:sz w:val="28"/>
          <w:szCs w:val="28"/>
          <w:lang w:val="en-US" w:eastAsia="zh-CN"/>
        </w:rPr>
        <w:t>24</w:t>
      </w:r>
      <w:r>
        <w:rPr>
          <w:rFonts w:hint="eastAsia"/>
          <w:color w:val="000000" w:themeColor="text1"/>
          <w:sz w:val="28"/>
          <w:szCs w:val="28"/>
        </w:rPr>
        <w:t>年</w:t>
      </w:r>
      <w:r>
        <w:rPr>
          <w:rFonts w:hint="eastAsia"/>
          <w:color w:val="000000" w:themeColor="text1"/>
          <w:sz w:val="28"/>
          <w:szCs w:val="28"/>
          <w:lang w:val="en-US" w:eastAsia="zh-CN"/>
        </w:rPr>
        <w:t>7</w:t>
      </w:r>
      <w:r>
        <w:rPr>
          <w:rFonts w:hint="eastAsia"/>
          <w:color w:val="000000" w:themeColor="text1"/>
          <w:sz w:val="28"/>
          <w:szCs w:val="28"/>
        </w:rPr>
        <w:t>月。</w:t>
      </w:r>
      <w:r>
        <w:rPr>
          <w:rFonts w:hint="eastAsia"/>
          <w:color w:val="000000" w:themeColor="text1"/>
          <w:sz w:val="28"/>
          <w:szCs w:val="28"/>
          <w:lang w:val="en-US" w:eastAsia="zh-CN"/>
        </w:rPr>
        <w:t>截止2023年7月项目水厂主体建设已完工，剩余内部装修，外墙装修和净水设备安装调试，管网铺设工程已完成总量的95％。</w:t>
      </w:r>
    </w:p>
    <w:p>
      <w:pPr>
        <w:keepNext/>
        <w:keepLines/>
        <w:spacing w:line="600" w:lineRule="exact"/>
        <w:ind w:firstLine="562" w:firstLineChars="200"/>
        <w:outlineLvl w:val="1"/>
        <w:rPr>
          <w:b/>
          <w:bCs/>
          <w:sz w:val="28"/>
          <w:szCs w:val="28"/>
        </w:rPr>
      </w:pPr>
      <w:r>
        <w:rPr>
          <w:rFonts w:hint="eastAsia"/>
          <w:b/>
          <w:bCs/>
          <w:sz w:val="28"/>
          <w:szCs w:val="28"/>
        </w:rPr>
        <w:t>五、债券重大公开事项</w:t>
      </w:r>
    </w:p>
    <w:p>
      <w:pPr>
        <w:spacing w:line="600" w:lineRule="exact"/>
        <w:ind w:firstLine="560" w:firstLineChars="200"/>
        <w:rPr>
          <w:sz w:val="28"/>
          <w:szCs w:val="28"/>
        </w:rPr>
      </w:pPr>
      <w:r>
        <w:rPr>
          <w:rFonts w:hint="eastAsia"/>
          <w:sz w:val="28"/>
          <w:szCs w:val="28"/>
        </w:rPr>
        <w:t>截止202</w:t>
      </w:r>
      <w:r>
        <w:rPr>
          <w:rFonts w:hint="eastAsia"/>
          <w:sz w:val="28"/>
          <w:szCs w:val="28"/>
          <w:lang w:val="en-US" w:eastAsia="zh-CN"/>
        </w:rPr>
        <w:t>2</w:t>
      </w:r>
      <w:bookmarkStart w:id="2" w:name="_GoBack"/>
      <w:bookmarkEnd w:id="2"/>
      <w:r>
        <w:rPr>
          <w:rFonts w:hint="eastAsia"/>
          <w:sz w:val="28"/>
          <w:szCs w:val="28"/>
        </w:rPr>
        <w:t>年末，本单位所在债券资金使用地区未发生可能影响当地一般公共预算收入和政府性基金收入的重大事项。</w:t>
      </w:r>
    </w:p>
    <w:p>
      <w:pPr>
        <w:ind w:firstLine="5120" w:firstLineChars="16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RjNWVkZGQ0ZWMxZGI4OGY2MTVmOTdlODE5ZGFhYzIifQ=="/>
  </w:docVars>
  <w:rsids>
    <w:rsidRoot w:val="188F5967"/>
    <w:rsid w:val="003357C5"/>
    <w:rsid w:val="003E41F4"/>
    <w:rsid w:val="007F495A"/>
    <w:rsid w:val="00A377DF"/>
    <w:rsid w:val="00DB1B9B"/>
    <w:rsid w:val="00E16DC7"/>
    <w:rsid w:val="00FE0CDA"/>
    <w:rsid w:val="02002957"/>
    <w:rsid w:val="0DEE0F90"/>
    <w:rsid w:val="0E8D69FB"/>
    <w:rsid w:val="12712A21"/>
    <w:rsid w:val="160D7771"/>
    <w:rsid w:val="188F5967"/>
    <w:rsid w:val="1AFF2A2E"/>
    <w:rsid w:val="1B657D9C"/>
    <w:rsid w:val="1C2245D5"/>
    <w:rsid w:val="1E780B2E"/>
    <w:rsid w:val="1FB407DB"/>
    <w:rsid w:val="246F29D3"/>
    <w:rsid w:val="253F66CA"/>
    <w:rsid w:val="35C24F87"/>
    <w:rsid w:val="38D541B1"/>
    <w:rsid w:val="3A1C0AAF"/>
    <w:rsid w:val="3CE358B4"/>
    <w:rsid w:val="3F58245F"/>
    <w:rsid w:val="43C35BF6"/>
    <w:rsid w:val="446217B4"/>
    <w:rsid w:val="4D6B1C79"/>
    <w:rsid w:val="51840FBC"/>
    <w:rsid w:val="581E5677"/>
    <w:rsid w:val="685A43CD"/>
    <w:rsid w:val="68637725"/>
    <w:rsid w:val="697D4817"/>
    <w:rsid w:val="7B30007A"/>
    <w:rsid w:val="7BFA55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uiPriority w:val="0"/>
    <w:rPr>
      <w:rFonts w:ascii="宋体" w:hAnsi="Courier New"/>
      <w:sz w:val="28"/>
      <w:szCs w:val="20"/>
    </w:rPr>
  </w:style>
  <w:style w:type="paragraph" w:styleId="4">
    <w:name w:val="Body Text"/>
    <w:basedOn w:val="1"/>
    <w:semiHidden/>
    <w:unhideWhenUsed/>
    <w:qFormat/>
    <w:uiPriority w:val="99"/>
    <w:pPr>
      <w:spacing w:after="120"/>
    </w:p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1045</Words>
  <Characters>1266</Characters>
  <Lines>8</Lines>
  <Paragraphs>2</Paragraphs>
  <TotalTime>19</TotalTime>
  <ScaleCrop>false</ScaleCrop>
  <LinksUpToDate>false</LinksUpToDate>
  <CharactersWithSpaces>1272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2020-06-10T02:19:00Z</dcterms:created>
  <dc:creator>赵巍</dc:creator>
  <cp:lastModifiedBy>常峰</cp:lastModifiedBy>
  <cp:lastPrinted>2020-07-06T09:35:00Z</cp:lastPrinted>
  <dcterms:modified xsi:type="dcterms:W3CDTF">2023-08-14T02:14:31Z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B282855C3F454F8DB6EF8CFFA484E40E_12</vt:lpwstr>
  </property>
</Properties>
</file>