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overflowPunct w:val="0"/>
        <w:autoSpaceDE w:val="0"/>
        <w:autoSpaceDN w:val="0"/>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关于2023年预算调整方案的说明</w:t>
      </w:r>
    </w:p>
    <w:p>
      <w:pPr>
        <w:tabs>
          <w:tab w:val="left" w:pos="0"/>
        </w:tabs>
        <w:overflowPunct w:val="0"/>
        <w:autoSpaceDE w:val="0"/>
        <w:autoSpaceDN w:val="0"/>
        <w:spacing w:before="312" w:beforeLines="100" w:line="600" w:lineRule="exact"/>
        <w:ind w:left="176" w:leftChars="84"/>
        <w:jc w:val="center"/>
        <w:rPr>
          <w:rFonts w:ascii="楷体_GB2312" w:hAnsi="仿宋_GB2312" w:eastAsia="楷体_GB2312" w:cs="仿宋_GB2312"/>
          <w:sz w:val="32"/>
          <w:szCs w:val="32"/>
        </w:rPr>
      </w:pPr>
      <w:r>
        <w:rPr>
          <w:rFonts w:hint="eastAsia" w:ascii="楷体_GB2312" w:hAnsi="仿宋_GB2312" w:eastAsia="楷体_GB2312" w:cs="仿宋_GB2312"/>
          <w:sz w:val="32"/>
          <w:szCs w:val="32"/>
        </w:rPr>
        <w:t>——2023年12月26日在曲沃县第十七届人民代表大会</w:t>
      </w:r>
    </w:p>
    <w:p>
      <w:pPr>
        <w:tabs>
          <w:tab w:val="left" w:pos="0"/>
        </w:tabs>
        <w:overflowPunct w:val="0"/>
        <w:autoSpaceDE w:val="0"/>
        <w:autoSpaceDN w:val="0"/>
        <w:spacing w:line="600" w:lineRule="exact"/>
        <w:ind w:left="176" w:leftChars="84"/>
        <w:jc w:val="center"/>
        <w:rPr>
          <w:rFonts w:ascii="楷体_GB2312" w:hAnsi="仿宋_GB2312" w:eastAsia="楷体_GB2312" w:cs="仿宋_GB2312"/>
          <w:sz w:val="32"/>
          <w:szCs w:val="32"/>
        </w:rPr>
      </w:pPr>
      <w:r>
        <w:rPr>
          <w:rFonts w:hint="eastAsia" w:ascii="楷体_GB2312" w:hAnsi="仿宋_GB2312" w:eastAsia="楷体_GB2312" w:cs="仿宋_GB2312"/>
          <w:sz w:val="32"/>
          <w:szCs w:val="32"/>
        </w:rPr>
        <w:t>常务委员会第二十一次会议上</w:t>
      </w:r>
    </w:p>
    <w:p>
      <w:pPr>
        <w:tabs>
          <w:tab w:val="left" w:pos="0"/>
        </w:tabs>
        <w:overflowPunct w:val="0"/>
        <w:autoSpaceDE w:val="0"/>
        <w:autoSpaceDN w:val="0"/>
        <w:spacing w:before="312" w:beforeLines="100" w:after="312" w:afterLines="100" w:line="600" w:lineRule="exact"/>
        <w:jc w:val="center"/>
        <w:rPr>
          <w:rFonts w:ascii="楷体_GB2312" w:hAnsi="仿宋_GB2312" w:eastAsia="楷体_GB2312" w:cs="仿宋_GB2312"/>
          <w:b/>
          <w:sz w:val="32"/>
          <w:szCs w:val="32"/>
        </w:rPr>
      </w:pPr>
      <w:r>
        <w:rPr>
          <w:rFonts w:hint="eastAsia" w:ascii="楷体_GB2312" w:hAnsi="仿宋_GB2312" w:eastAsia="楷体_GB2312" w:cs="仿宋_GB2312"/>
          <w:b/>
          <w:sz w:val="32"/>
          <w:szCs w:val="32"/>
        </w:rPr>
        <w:t>曲沃县财政局局长  申明祥</w:t>
      </w:r>
    </w:p>
    <w:p>
      <w:pPr>
        <w:tabs>
          <w:tab w:val="left" w:pos="0"/>
        </w:tabs>
        <w:overflowPunct w:val="0"/>
        <w:autoSpaceDE w:val="0"/>
        <w:autoSpaceDN w:val="0"/>
        <w:spacing w:line="580" w:lineRule="exact"/>
        <w:rPr>
          <w:rFonts w:ascii="仿宋_GB2312" w:hAnsi="仿宋" w:eastAsia="仿宋_GB2312"/>
          <w:b/>
          <w:sz w:val="32"/>
          <w:szCs w:val="32"/>
        </w:rPr>
      </w:pPr>
      <w:r>
        <w:rPr>
          <w:rFonts w:hint="eastAsia" w:ascii="仿宋_GB2312" w:hAnsi="仿宋" w:eastAsia="仿宋_GB2312"/>
          <w:b/>
          <w:sz w:val="32"/>
          <w:szCs w:val="32"/>
        </w:rPr>
        <w:t>主任、副主任、各位委员：</w:t>
      </w:r>
    </w:p>
    <w:p>
      <w:pPr>
        <w:overflowPunct w:val="0"/>
        <w:autoSpaceDE w:val="0"/>
        <w:autoSpaceDN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县人民政府委托，现在我向县人大常委会报告曲沃县2023年预算调整方案。曲沃县2023年预算是经曲沃县十七届人民代表大会第三次会议批准执行的，执行过程中因收入短收，一般转移支付、地方政府债务转贷和上解资金的变动，使我县财力发生变动，需对备案预算作出相应调整。</w:t>
      </w:r>
    </w:p>
    <w:p>
      <w:pPr>
        <w:numPr>
          <w:ilvl w:val="0"/>
          <w:numId w:val="1"/>
        </w:numPr>
        <w:overflowPunct w:val="0"/>
        <w:autoSpaceDE w:val="0"/>
        <w:autoSpaceDN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一般公共预算收支调整情况</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1.一般公共预算收入：</w:t>
      </w:r>
      <w:r>
        <w:rPr>
          <w:rFonts w:hint="eastAsia" w:ascii="仿宋_GB2312" w:hAnsi="仿宋_GB2312" w:eastAsia="仿宋_GB2312" w:cs="仿宋_GB2312"/>
          <w:sz w:val="32"/>
          <w:szCs w:val="32"/>
        </w:rPr>
        <w:t>受增值税留抵退税、闽光企业搬迁、</w:t>
      </w:r>
      <w:r>
        <w:rPr>
          <w:rFonts w:hint="eastAsia" w:ascii="仿宋_GB2312" w:hAnsi="仿宋_GB2312" w:eastAsia="仿宋_GB2312" w:cs="仿宋_GB2312"/>
          <w:bCs/>
          <w:sz w:val="32"/>
          <w:szCs w:val="32"/>
        </w:rPr>
        <w:t>钢焦市场的持续低迷及非即期税收同比大幅下降</w:t>
      </w:r>
      <w:r>
        <w:rPr>
          <w:rFonts w:hint="eastAsia" w:ascii="仿宋_GB2312" w:hAnsi="仿宋_GB2312" w:eastAsia="仿宋_GB2312" w:cs="仿宋_GB2312"/>
          <w:sz w:val="32"/>
          <w:szCs w:val="32"/>
        </w:rPr>
        <w:t>等因素影响，预计年底一般公共预算收入完成56000万元（税收收入42940万元，非税收入13060万元），比备案预算66106万元减少10106万元。</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2.一般转移支付变动情况：</w:t>
      </w:r>
      <w:r>
        <w:rPr>
          <w:rFonts w:hint="eastAsia" w:ascii="仿宋" w:hAnsi="仿宋" w:eastAsia="仿宋" w:cs="仿宋"/>
          <w:sz w:val="32"/>
          <w:szCs w:val="32"/>
        </w:rPr>
        <w:t>县</w:t>
      </w:r>
      <w:r>
        <w:rPr>
          <w:rFonts w:hint="eastAsia" w:ascii="仿宋_GB2312" w:hAnsi="仿宋_GB2312" w:eastAsia="仿宋_GB2312" w:cs="仿宋_GB2312"/>
          <w:sz w:val="32"/>
          <w:szCs w:val="32"/>
        </w:rPr>
        <w:t>十七届人民代表大会第三次会议批准预算后，市财政局下达我县一般转移支付8860万元。其中：临财预〔2023〕27号下达疫情防控财力补助1303万元，临财预〔2023〕37号下达2023年均衡性转移支付资金827万元，临财预〔2023〕44号下达革命老区转移支付资金313万元，临财预〔2023〕46号下达2022年县级、开发区财政奖补资金1152万元，临财预〔2023〕83号下达清算2022年新出台留抵退税政策专项资金和结算2022年增值税留抵退税调库资金320万元，财力型转移支付资金4945万元。</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3.调减一般公共预算支出：</w:t>
      </w:r>
      <w:r>
        <w:rPr>
          <w:rFonts w:hint="eastAsia" w:ascii="仿宋_GB2312" w:hAnsi="仿宋_GB2312" w:eastAsia="仿宋_GB2312" w:cs="仿宋_GB2312"/>
          <w:sz w:val="32"/>
          <w:szCs w:val="32"/>
        </w:rPr>
        <w:t>因一般公共预算短收、上解资金增加，造成我县财力减少的部分，需调减年初预算项目平衡，拟调减曲村联合小学建设、晋之源乡村e镇等项目，预计调减金额12400万元。</w:t>
      </w:r>
    </w:p>
    <w:p>
      <w:pPr>
        <w:overflowPunct w:val="0"/>
        <w:autoSpaceDE w:val="0"/>
        <w:autoSpaceDN w:val="0"/>
        <w:spacing w:line="580" w:lineRule="exact"/>
        <w:ind w:firstLine="640"/>
        <w:rPr>
          <w:rFonts w:ascii="楷体" w:hAnsi="楷体" w:eastAsia="楷体" w:cs="楷体"/>
          <w:b/>
          <w:bCs/>
          <w:sz w:val="32"/>
          <w:szCs w:val="32"/>
        </w:rPr>
      </w:pPr>
      <w:r>
        <w:rPr>
          <w:rFonts w:hint="eastAsia" w:ascii="楷体_GB2312" w:hAnsi="楷体" w:eastAsia="楷体_GB2312" w:cs="楷体"/>
          <w:b/>
          <w:bCs/>
          <w:sz w:val="32"/>
          <w:szCs w:val="32"/>
        </w:rPr>
        <w:t>4.一般公共预算盘活存量资金：</w:t>
      </w:r>
      <w:r>
        <w:rPr>
          <w:rFonts w:hint="eastAsia" w:ascii="仿宋_GB2312" w:hAnsi="仿宋" w:eastAsia="仿宋_GB2312"/>
          <w:sz w:val="32"/>
          <w:szCs w:val="32"/>
        </w:rPr>
        <w:t>根据《山西省财政厅关于进一步做好盘活财政存量资金工作的通知》（晋财预</w:t>
      </w:r>
      <w:r>
        <w:rPr>
          <w:rFonts w:hint="eastAsia" w:ascii="仿宋_GB2312" w:hAnsi="仿宋_GB2312" w:eastAsia="仿宋_GB2312" w:cs="仿宋_GB2312"/>
          <w:sz w:val="32"/>
          <w:szCs w:val="32"/>
        </w:rPr>
        <w:t>〔2022〕78号</w:t>
      </w:r>
      <w:r>
        <w:rPr>
          <w:rFonts w:hint="eastAsia" w:ascii="仿宋_GB2312" w:hAnsi="仿宋" w:eastAsia="仿宋_GB2312"/>
          <w:sz w:val="32"/>
          <w:szCs w:val="32"/>
        </w:rPr>
        <w:t>）文件精神，拟对各部门今年无法清算的上年结转资金予以盘活收回，用于因收入减少、上解增加等造成的收支缺口。拟收回资金约6000万元。</w:t>
      </w:r>
    </w:p>
    <w:p>
      <w:pPr>
        <w:overflowPunct w:val="0"/>
        <w:autoSpaceDE w:val="0"/>
        <w:autoSpaceDN w:val="0"/>
        <w:spacing w:line="580" w:lineRule="exact"/>
        <w:ind w:firstLine="640"/>
        <w:rPr>
          <w:rFonts w:ascii="仿宋_GB2312" w:hAnsi="仿宋" w:eastAsia="仿宋_GB2312"/>
          <w:sz w:val="32"/>
          <w:szCs w:val="32"/>
        </w:rPr>
      </w:pPr>
      <w:r>
        <w:rPr>
          <w:rFonts w:hint="eastAsia" w:ascii="楷体_GB2312" w:hAnsi="楷体" w:eastAsia="楷体_GB2312" w:cs="楷体"/>
          <w:b/>
          <w:bCs/>
          <w:sz w:val="32"/>
          <w:szCs w:val="32"/>
        </w:rPr>
        <w:t>5.上解增加事项：</w:t>
      </w:r>
      <w:r>
        <w:rPr>
          <w:rFonts w:hint="eastAsia" w:ascii="仿宋_GB2312" w:hAnsi="仿宋_GB2312" w:eastAsia="仿宋_GB2312" w:cs="仿宋_GB2312"/>
          <w:sz w:val="32"/>
          <w:szCs w:val="32"/>
        </w:rPr>
        <w:t>截止目前新增2022年增值税留抵退税结算等3项，新增上解金额2764万元。</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6.支出项目增加情况：</w:t>
      </w:r>
      <w:r>
        <w:rPr>
          <w:rFonts w:hint="eastAsia" w:ascii="仿宋_GB2312" w:hAnsi="仿宋_GB2312" w:eastAsia="仿宋_GB2312" w:cs="仿宋_GB2312"/>
          <w:sz w:val="32"/>
          <w:szCs w:val="32"/>
        </w:rPr>
        <w:t>在预算执行中，因新增入职人员300人、退休人员增加补贴及公务员、事业单位增加考核奖等人员类经费增加、机关事业养老保险缺口及因政府性基金短收由政府性基金预算调入一般公共预算支出的项目等，需新增项目支出，经县政府同意，拟调整预算予以安排，共计资金14391万元。</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7.一般公共预算收支平衡：</w:t>
      </w:r>
      <w:r>
        <w:rPr>
          <w:rFonts w:hint="eastAsia" w:ascii="仿宋_GB2312" w:hAnsi="仿宋_GB2312" w:eastAsia="仿宋_GB2312" w:cs="仿宋_GB2312"/>
          <w:sz w:val="32"/>
          <w:szCs w:val="32"/>
        </w:rPr>
        <w:t>因收入短收、上解增加造成的资金缺口，拟通过调减年初预算项目和盘活存量资金予以平衡。</w:t>
      </w:r>
    </w:p>
    <w:p>
      <w:pPr>
        <w:numPr>
          <w:ilvl w:val="0"/>
          <w:numId w:val="1"/>
        </w:numPr>
        <w:overflowPunct w:val="0"/>
        <w:autoSpaceDE w:val="0"/>
        <w:autoSpaceDN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政府性基金预算收支调整情况</w:t>
      </w:r>
    </w:p>
    <w:p>
      <w:pPr>
        <w:overflowPunct w:val="0"/>
        <w:autoSpaceDE w:val="0"/>
        <w:autoSpaceDN w:val="0"/>
        <w:spacing w:line="580" w:lineRule="exact"/>
        <w:ind w:firstLine="640"/>
        <w:rPr>
          <w:rFonts w:ascii="仿宋_GB2312" w:hAnsi="仿宋" w:eastAsia="仿宋_GB2312"/>
          <w:sz w:val="32"/>
          <w:szCs w:val="32"/>
        </w:rPr>
      </w:pPr>
      <w:r>
        <w:rPr>
          <w:rFonts w:hint="eastAsia" w:ascii="楷体_GB2312" w:hAnsi="楷体" w:eastAsia="楷体_GB2312" w:cs="楷体"/>
          <w:b/>
          <w:bCs/>
          <w:sz w:val="32"/>
          <w:szCs w:val="32"/>
        </w:rPr>
        <w:t>1.政府性基金预算收入：</w:t>
      </w:r>
      <w:r>
        <w:rPr>
          <w:rFonts w:hint="eastAsia" w:ascii="仿宋_GB2312" w:hAnsi="仿宋" w:eastAsia="仿宋_GB2312"/>
          <w:sz w:val="32"/>
          <w:szCs w:val="32"/>
        </w:rPr>
        <w:t>预计年底政府性基金收入完成20590万元，比年初预期目标42240万元减少21650万元。短收的主要原因：一是受房地产市场行情影响国有土地使用权出让收入未达预期目标；二是新增专项债券项目大多处于建设期未产生收益，造成专项债券利息收入达不到预期目标。</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2.调减项目支出：</w:t>
      </w:r>
      <w:r>
        <w:rPr>
          <w:rFonts w:hint="eastAsia" w:ascii="仿宋_GB2312" w:hAnsi="仿宋_GB2312" w:eastAsia="仿宋_GB2312" w:cs="仿宋_GB2312"/>
          <w:sz w:val="32"/>
          <w:szCs w:val="32"/>
        </w:rPr>
        <w:t>因政府性基金预算短收，需调减年初预算项目平衡，拟调减培育壮大第三产业、新兴产业县域经济高质量资金、府西街西延还迁房购置项目等项目，预计调减金额20930万元。</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3.政府性基金预算盘活存量资金：</w:t>
      </w:r>
      <w:r>
        <w:rPr>
          <w:rFonts w:hint="eastAsia" w:ascii="仿宋_GB2312" w:hAnsi="仿宋" w:eastAsia="仿宋_GB2312"/>
          <w:sz w:val="32"/>
          <w:szCs w:val="32"/>
        </w:rPr>
        <w:t>根据《山西省财政厅关于进一步做好盘活财政存量资金工作的通知》（晋财预</w:t>
      </w:r>
      <w:r>
        <w:rPr>
          <w:rFonts w:hint="eastAsia" w:ascii="仿宋_GB2312" w:hAnsi="仿宋_GB2312" w:eastAsia="仿宋_GB2312" w:cs="仿宋_GB2312"/>
          <w:sz w:val="32"/>
          <w:szCs w:val="32"/>
        </w:rPr>
        <w:t>〔2022〕78号</w:t>
      </w:r>
      <w:r>
        <w:rPr>
          <w:rFonts w:hint="eastAsia" w:ascii="仿宋_GB2312" w:hAnsi="仿宋" w:eastAsia="仿宋_GB2312"/>
          <w:sz w:val="32"/>
          <w:szCs w:val="32"/>
        </w:rPr>
        <w:t>）文件精神，拟对各部门今年无法清算的上年结转资金予以盘活收回，用于因收入减少造成的收支缺口。拟收回资金约720万元。</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楷体_GB2312" w:hAnsi="楷体" w:eastAsia="楷体_GB2312" w:cs="楷体"/>
          <w:b/>
          <w:bCs/>
          <w:sz w:val="32"/>
          <w:szCs w:val="32"/>
        </w:rPr>
        <w:t>4.政府性基金收支平衡：</w:t>
      </w:r>
      <w:r>
        <w:rPr>
          <w:rFonts w:hint="eastAsia" w:ascii="仿宋_GB2312" w:hAnsi="仿宋_GB2312" w:eastAsia="仿宋_GB2312" w:cs="仿宋_GB2312"/>
          <w:sz w:val="32"/>
          <w:szCs w:val="32"/>
        </w:rPr>
        <w:t>因收入短收造成的资金缺口，拟通过调减年初预算项目和盘活存量资金予以平衡。</w:t>
      </w:r>
    </w:p>
    <w:p>
      <w:pPr>
        <w:overflowPunct w:val="0"/>
        <w:autoSpaceDE w:val="0"/>
        <w:autoSpaceDN w:val="0"/>
        <w:spacing w:line="580" w:lineRule="exact"/>
        <w:ind w:firstLine="640"/>
        <w:rPr>
          <w:rFonts w:ascii="黑体" w:hAnsi="黑体" w:eastAsia="黑体" w:cs="黑体"/>
          <w:sz w:val="32"/>
          <w:szCs w:val="32"/>
        </w:rPr>
      </w:pPr>
      <w:r>
        <w:rPr>
          <w:rFonts w:hint="eastAsia" w:ascii="黑体" w:hAnsi="黑体" w:eastAsia="黑体" w:cs="黑体"/>
          <w:sz w:val="32"/>
          <w:szCs w:val="32"/>
        </w:rPr>
        <w:t>三、预算调剂情况</w:t>
      </w:r>
    </w:p>
    <w:p>
      <w:pPr>
        <w:overflowPunct w:val="0"/>
        <w:autoSpaceDE w:val="0"/>
        <w:autoSpaceDN w:val="0"/>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为进一步提高财政资金使用效益，避免财政资金浪费，今年我们按照《曲沃县</w:t>
      </w:r>
      <w:r>
        <w:rPr>
          <w:rFonts w:hint="eastAsia" w:ascii="仿宋_GB2312" w:hAnsi="仿宋_GB2312" w:eastAsia="仿宋_GB2312" w:cs="仿宋_GB2312"/>
          <w:spacing w:val="10"/>
          <w:sz w:val="32"/>
          <w:szCs w:val="32"/>
        </w:rPr>
        <w:t>预算调剂管理办法</w:t>
      </w:r>
      <w:r>
        <w:rPr>
          <w:rFonts w:hint="eastAsia" w:ascii="仿宋_GB2312" w:hAnsi="仿宋_GB2312" w:eastAsia="仿宋_GB2312" w:cs="仿宋_GB2312"/>
          <w:sz w:val="32"/>
          <w:szCs w:val="32"/>
        </w:rPr>
        <w:t>（试行）》，根据部门单位调剂申请，同时结合全县各单位项目开展情况，对相关部门年初预算项目进行了调剂，其中大的项目间调剂有：曲沃县晋国博物馆展陈提升项目预算1000万元因尚未完成招投标原因无法支付调剂用于曲沃县晋国博物馆扩建建设项目前期项目100万元，用于高显镇西上官村土地补偿款700万元，曲沃县主城区雨污分流管网改造项目预算1000万元因专项债券资金下达无需再支付调剂用于曲沃县顾园项目256.62万元等。</w:t>
      </w:r>
    </w:p>
    <w:p>
      <w:pPr>
        <w:overflowPunct w:val="0"/>
        <w:autoSpaceDE w:val="0"/>
        <w:autoSpaceDN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四、政府债券调整情况</w:t>
      </w:r>
    </w:p>
    <w:p>
      <w:pPr>
        <w:overflowPunct w:val="0"/>
        <w:autoSpaceDE w:val="0"/>
        <w:autoSpaceDN w:val="0"/>
        <w:spacing w:line="580" w:lineRule="exact"/>
        <w:ind w:firstLine="640"/>
        <w:rPr>
          <w:rFonts w:ascii="仿宋_GB2312" w:hAnsi="仿宋" w:eastAsia="仿宋_GB2312"/>
          <w:sz w:val="32"/>
          <w:szCs w:val="32"/>
        </w:rPr>
      </w:pPr>
      <w:r>
        <w:rPr>
          <w:rFonts w:hint="eastAsia" w:ascii="仿宋_GB2312" w:hAnsi="仿宋" w:eastAsia="仿宋_GB2312"/>
          <w:sz w:val="32"/>
          <w:szCs w:val="32"/>
        </w:rPr>
        <w:t>今年，市财政局下达我县债券资金42211.88万元，其中：</w:t>
      </w:r>
    </w:p>
    <w:p>
      <w:pPr>
        <w:overflowPunct w:val="0"/>
        <w:autoSpaceDE w:val="0"/>
        <w:autoSpaceDN w:val="0"/>
        <w:spacing w:line="580" w:lineRule="exact"/>
        <w:ind w:firstLine="640"/>
        <w:rPr>
          <w:rFonts w:ascii="仿宋_GB2312" w:hAnsi="仿宋" w:eastAsia="仿宋_GB2312"/>
          <w:sz w:val="32"/>
          <w:szCs w:val="32"/>
        </w:rPr>
      </w:pPr>
      <w:r>
        <w:rPr>
          <w:rFonts w:hint="eastAsia" w:ascii="仿宋_GB2312" w:hAnsi="仿宋" w:eastAsia="仿宋_GB2312"/>
          <w:sz w:val="32"/>
          <w:szCs w:val="32"/>
        </w:rPr>
        <w:t>新增一般债券211.88万元，用于小型水库安全运行项目107万元，用于低级别文物保护项目104.88万元；</w:t>
      </w:r>
    </w:p>
    <w:p>
      <w:pPr>
        <w:overflowPunct w:val="0"/>
        <w:autoSpaceDE w:val="0"/>
        <w:autoSpaceDN w:val="0"/>
        <w:spacing w:line="580" w:lineRule="exact"/>
        <w:ind w:firstLine="640"/>
        <w:rPr>
          <w:rFonts w:ascii="仿宋_GB2312" w:hAnsi="仿宋" w:eastAsia="仿宋_GB2312"/>
          <w:sz w:val="32"/>
          <w:szCs w:val="32"/>
        </w:rPr>
      </w:pPr>
      <w:r>
        <w:rPr>
          <w:rFonts w:hint="eastAsia" w:ascii="仿宋_GB2312" w:hAnsi="仿宋" w:eastAsia="仿宋_GB2312"/>
          <w:sz w:val="32"/>
          <w:szCs w:val="32"/>
        </w:rPr>
        <w:t>新增自平衡专项债券资金38200万元，拟用于农村规模化集中供水工程项目2200万元，人民医院胸痛中心、急救中心建设项目1300万元，主城区雨污分流管网改造项目25000万元，医疗集团安居分院、西常分院、下裴分院综合楼建设项目1300万元，人民医院污水处理系统、医疗辅助用房建设项目2000万元，中医医院医技传承创新建设项目4200万元，曲沃县中等职业技术学校操场、风雨操场、餐厅项目2200万元；</w:t>
      </w:r>
    </w:p>
    <w:p>
      <w:pPr>
        <w:overflowPunct w:val="0"/>
        <w:autoSpaceDE w:val="0"/>
        <w:autoSpaceDN w:val="0"/>
        <w:spacing w:line="580" w:lineRule="exact"/>
        <w:ind w:firstLine="640"/>
        <w:rPr>
          <w:rFonts w:ascii="仿宋_GB2312" w:hAnsi="仿宋" w:eastAsia="仿宋_GB2312"/>
          <w:sz w:val="32"/>
          <w:szCs w:val="32"/>
        </w:rPr>
      </w:pPr>
      <w:r>
        <w:rPr>
          <w:rFonts w:hint="eastAsia" w:ascii="仿宋_GB2312" w:hAnsi="仿宋" w:eastAsia="仿宋_GB2312"/>
          <w:sz w:val="32"/>
          <w:szCs w:val="32"/>
        </w:rPr>
        <w:t>再融资债券3800万元，用于偿还到期一般债券本金1800万元，偿还到期专项债券</w:t>
      </w:r>
      <w:r>
        <w:rPr>
          <w:rFonts w:hint="eastAsia" w:ascii="仿宋_GB2312" w:hAnsi="仿宋" w:eastAsia="仿宋_GB2312"/>
          <w:sz w:val="32"/>
          <w:szCs w:val="32"/>
          <w:lang w:val="en-US" w:eastAsia="zh-CN"/>
        </w:rPr>
        <w:t>本金</w:t>
      </w:r>
      <w:bookmarkStart w:id="0" w:name="_GoBack"/>
      <w:bookmarkEnd w:id="0"/>
      <w:r>
        <w:rPr>
          <w:rFonts w:hint="eastAsia" w:ascii="仿宋_GB2312" w:hAnsi="仿宋" w:eastAsia="仿宋_GB2312"/>
          <w:sz w:val="32"/>
          <w:szCs w:val="32"/>
        </w:rPr>
        <w:t>2000万元。</w:t>
      </w:r>
    </w:p>
    <w:p>
      <w:pPr>
        <w:overflowPunct w:val="0"/>
        <w:autoSpaceDE w:val="0"/>
        <w:autoSpaceDN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五、盘活资金安排情况</w:t>
      </w:r>
    </w:p>
    <w:p>
      <w:pPr>
        <w:overflowPunct w:val="0"/>
        <w:autoSpaceDE w:val="0"/>
        <w:autoSpaceDN w:val="0"/>
        <w:spacing w:line="580" w:lineRule="exact"/>
        <w:ind w:firstLine="419" w:firstLineChars="131"/>
        <w:rPr>
          <w:rFonts w:ascii="仿宋_GB2312" w:hAnsi="仿宋" w:eastAsia="仿宋_GB2312"/>
          <w:sz w:val="32"/>
          <w:szCs w:val="32"/>
        </w:rPr>
      </w:pPr>
      <w:r>
        <w:rPr>
          <w:rFonts w:hint="eastAsia" w:ascii="仿宋_GB2312" w:hAnsi="仿宋" w:eastAsia="仿宋_GB2312"/>
          <w:sz w:val="32"/>
          <w:szCs w:val="32"/>
        </w:rPr>
        <w:t xml:space="preserve"> 往年收回盘活资金大部分按照原用途使用外，拟用于年初预算未安排又急需资金的西城一期拆迁户过渡安置费等项目共计700万元。</w:t>
      </w:r>
    </w:p>
    <w:p>
      <w:pPr>
        <w:numPr>
          <w:ilvl w:val="0"/>
          <w:numId w:val="2"/>
        </w:numPr>
        <w:overflowPunct w:val="0"/>
        <w:autoSpaceDE w:val="0"/>
        <w:autoSpaceDN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预算绩效管理情况</w:t>
      </w:r>
    </w:p>
    <w:p>
      <w:pPr>
        <w:overflowPunct w:val="0"/>
        <w:autoSpaceDE w:val="0"/>
        <w:autoSpaceDN w:val="0"/>
        <w:spacing w:line="580" w:lineRule="exact"/>
        <w:ind w:firstLine="640" w:firstLineChars="200"/>
        <w:rPr>
          <w:rFonts w:ascii="仿宋_GB2312" w:hAnsi="仿宋_GB2312" w:eastAsia="仿宋_GB2312" w:cs="仿宋_GB2312"/>
          <w:kern w:val="0"/>
          <w:sz w:val="32"/>
          <w:szCs w:val="32"/>
          <w:lang w:bidi="ar"/>
        </w:rPr>
      </w:pPr>
      <w:r>
        <w:rPr>
          <w:rFonts w:hint="eastAsia" w:ascii="仿宋_GB2312" w:hAnsi="仿宋" w:eastAsia="仿宋_GB2312"/>
          <w:sz w:val="32"/>
          <w:szCs w:val="32"/>
        </w:rPr>
        <w:t>今年</w:t>
      </w:r>
      <w:r>
        <w:rPr>
          <w:rFonts w:hint="eastAsia" w:ascii="仿宋_GB2312" w:hAnsi="仿宋_GB2312" w:eastAsia="仿宋_GB2312" w:cs="仿宋_GB2312"/>
          <w:sz w:val="32"/>
          <w:szCs w:val="32"/>
        </w:rPr>
        <w:t>我县对2022年预算执行的涉及民生、乡村振兴等重点项目，债券资金项目以及部分单位整体运行情况进行了重点绩效评价。涉及6个部门整体、33个项目，资金3.91亿元。绩效评价结果为“优”档次的23个、</w:t>
      </w:r>
      <w:r>
        <w:rPr>
          <w:rFonts w:hint="eastAsia" w:ascii="仿宋_GB2312" w:eastAsia="仿宋_GB2312" w:cs="仿宋_GB2312"/>
          <w:sz w:val="32"/>
          <w:szCs w:val="32"/>
          <w:lang w:bidi="ar"/>
        </w:rPr>
        <w:t>“良”档次的14个、“中”档次的</w:t>
      </w:r>
      <w:r>
        <w:rPr>
          <w:rFonts w:hint="eastAsia" w:ascii="仿宋_GB2312" w:hAnsi="仿宋_GB2312" w:eastAsia="仿宋_GB2312" w:cs="仿宋_GB2312"/>
          <w:kern w:val="0"/>
          <w:sz w:val="32"/>
          <w:szCs w:val="32"/>
          <w:lang w:bidi="ar"/>
        </w:rPr>
        <w:t>2个。</w:t>
      </w:r>
    </w:p>
    <w:p>
      <w:pPr>
        <w:overflowPunct w:val="0"/>
        <w:autoSpaceDE w:val="0"/>
        <w:autoSpaceDN w:val="0"/>
        <w:spacing w:line="580" w:lineRule="exact"/>
        <w:ind w:firstLine="640" w:firstLineChars="200"/>
        <w:rPr>
          <w:rFonts w:ascii="仿宋_GB2312" w:hAnsi="仿宋_GB2312" w:eastAsia="仿宋_GB2312" w:cs="仿宋_GB2312"/>
          <w:kern w:val="0"/>
          <w:sz w:val="32"/>
          <w:szCs w:val="32"/>
          <w:lang w:bidi="ar"/>
        </w:rPr>
      </w:pPr>
      <w:r>
        <w:rPr>
          <w:rFonts w:hint="eastAsia" w:ascii="仿宋_GB2312" w:hAnsi="仿宋" w:eastAsia="仿宋_GB2312"/>
          <w:sz w:val="32"/>
          <w:szCs w:val="32"/>
        </w:rPr>
        <w:t>下一步我们</w:t>
      </w:r>
      <w:r>
        <w:rPr>
          <w:rFonts w:ascii="仿宋_GB2312" w:hAnsi="仿宋" w:eastAsia="仿宋_GB2312"/>
          <w:sz w:val="32"/>
          <w:szCs w:val="32"/>
        </w:rPr>
        <w:t>将在县委</w:t>
      </w:r>
      <w:r>
        <w:rPr>
          <w:rFonts w:hint="eastAsia" w:ascii="仿宋_GB2312" w:hAnsi="仿宋" w:eastAsia="仿宋_GB2312"/>
          <w:sz w:val="32"/>
          <w:szCs w:val="32"/>
        </w:rPr>
        <w:t>的坚强</w:t>
      </w:r>
      <w:r>
        <w:rPr>
          <w:rFonts w:ascii="仿宋_GB2312" w:hAnsi="仿宋" w:eastAsia="仿宋_GB2312"/>
          <w:sz w:val="32"/>
          <w:szCs w:val="32"/>
        </w:rPr>
        <w:t>领导</w:t>
      </w:r>
      <w:r>
        <w:rPr>
          <w:rFonts w:hint="eastAsia" w:ascii="仿宋_GB2312" w:hAnsi="仿宋" w:eastAsia="仿宋_GB2312"/>
          <w:sz w:val="32"/>
          <w:szCs w:val="32"/>
        </w:rPr>
        <w:t>下</w:t>
      </w:r>
      <w:r>
        <w:rPr>
          <w:rFonts w:ascii="仿宋_GB2312" w:hAnsi="仿宋" w:eastAsia="仿宋_GB2312"/>
          <w:sz w:val="32"/>
          <w:szCs w:val="32"/>
        </w:rPr>
        <w:t>，</w:t>
      </w:r>
      <w:r>
        <w:rPr>
          <w:rFonts w:hint="eastAsia" w:ascii="仿宋_GB2312" w:hAnsi="仿宋" w:eastAsia="仿宋_GB2312"/>
          <w:sz w:val="32"/>
          <w:szCs w:val="32"/>
        </w:rPr>
        <w:t>在县人大的监督支持下，</w:t>
      </w:r>
      <w:r>
        <w:rPr>
          <w:rFonts w:ascii="仿宋_GB2312" w:hAnsi="仿宋" w:eastAsia="仿宋_GB2312"/>
          <w:sz w:val="32"/>
          <w:szCs w:val="32"/>
        </w:rPr>
        <w:t>认真贯彻落实《预算法》，全力深化财税改革，进一步着力健全财政体制机制，加强财政宏观调控，锐意进取开拓创新</w:t>
      </w:r>
      <w:r>
        <w:rPr>
          <w:rFonts w:hint="eastAsia" w:ascii="仿宋_GB2312" w:hAnsi="仿宋" w:eastAsia="仿宋_GB2312"/>
          <w:sz w:val="32"/>
          <w:szCs w:val="32"/>
        </w:rPr>
        <w:t>，</w:t>
      </w:r>
      <w:r>
        <w:rPr>
          <w:rFonts w:ascii="仿宋_GB2312" w:hAnsi="仿宋" w:eastAsia="仿宋_GB2312"/>
          <w:sz w:val="32"/>
          <w:szCs w:val="32"/>
        </w:rPr>
        <w:t>不断提高预算管理水平和财政资金</w:t>
      </w:r>
      <w:r>
        <w:rPr>
          <w:rFonts w:hint="eastAsia" w:ascii="仿宋_GB2312" w:hAnsi="仿宋" w:eastAsia="仿宋_GB2312"/>
          <w:sz w:val="32"/>
          <w:szCs w:val="32"/>
        </w:rPr>
        <w:t>使用</w:t>
      </w:r>
      <w:r>
        <w:rPr>
          <w:rFonts w:ascii="仿宋_GB2312" w:hAnsi="仿宋" w:eastAsia="仿宋_GB2312"/>
          <w:sz w:val="32"/>
          <w:szCs w:val="32"/>
        </w:rPr>
        <w:t>效益，努力完成本次调整的各项目标任务</w:t>
      </w:r>
      <w:r>
        <w:rPr>
          <w:rFonts w:hint="eastAsia" w:ascii="仿宋_GB2312" w:hAnsi="仿宋" w:eastAsia="仿宋_GB2312"/>
          <w:sz w:val="32"/>
          <w:szCs w:val="32"/>
        </w:rPr>
        <w:t>，为推动经济持续健康发展和社会和谐稳定作出积极贡献!</w:t>
      </w:r>
    </w:p>
    <w:p>
      <w:pPr>
        <w:tabs>
          <w:tab w:val="left" w:pos="0"/>
        </w:tabs>
        <w:overflowPunct w:val="0"/>
        <w:autoSpaceDE w:val="0"/>
        <w:autoSpaceDN w:val="0"/>
        <w:spacing w:line="580" w:lineRule="exact"/>
        <w:ind w:firstLine="640" w:firstLineChars="200"/>
        <w:rPr>
          <w:rFonts w:ascii="仿宋_GB2312" w:hAnsi="仿宋" w:eastAsia="仿宋_GB2312"/>
          <w:sz w:val="32"/>
          <w:szCs w:val="32"/>
        </w:rPr>
      </w:pPr>
      <w:r>
        <w:rPr>
          <w:rFonts w:hint="eastAsia" w:ascii="仿宋_GB2312" w:hAnsi="仿宋" w:eastAsia="仿宋_GB2312"/>
          <w:sz w:val="32"/>
          <w:szCs w:val="32"/>
        </w:rPr>
        <w:t>主任、副主任、各位委员，以上是2023年预算调整的方案，请予以审议。</w:t>
      </w:r>
    </w:p>
    <w:p>
      <w:pPr>
        <w:overflowPunct w:val="0"/>
        <w:autoSpaceDE w:val="0"/>
        <w:autoSpaceDN w:val="0"/>
        <w:spacing w:line="600" w:lineRule="exact"/>
        <w:ind w:firstLine="640" w:firstLineChars="200"/>
        <w:rPr>
          <w:rFonts w:ascii="仿宋_GB2312" w:hAnsi="仿宋_GB2312" w:eastAsia="仿宋_GB2312" w:cs="仿宋_GB2312"/>
          <w:kern w:val="0"/>
          <w:sz w:val="32"/>
          <w:szCs w:val="32"/>
          <w:lang w:bidi="ar"/>
        </w:rPr>
      </w:pPr>
    </w:p>
    <w:sectPr>
      <w:footerReference r:id="rId3" w:type="default"/>
      <w:footerReference r:id="rId4" w:type="even"/>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8" w:rightChars="161"/>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5" w:firstLineChars="15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EA739"/>
    <w:multiLevelType w:val="singleLevel"/>
    <w:tmpl w:val="9CCEA739"/>
    <w:lvl w:ilvl="0" w:tentative="0">
      <w:start w:val="1"/>
      <w:numFmt w:val="chineseCounting"/>
      <w:suff w:val="nothing"/>
      <w:lvlText w:val="%1、"/>
      <w:lvlJc w:val="left"/>
      <w:rPr>
        <w:rFonts w:hint="eastAsia"/>
      </w:rPr>
    </w:lvl>
  </w:abstractNum>
  <w:abstractNum w:abstractNumId="1">
    <w:nsid w:val="4D3162D0"/>
    <w:multiLevelType w:val="singleLevel"/>
    <w:tmpl w:val="4D3162D0"/>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NjNkZWFlMjlkMmQ4MWFmZDMzNDlmYTBkYTEyNjIifQ=="/>
  </w:docVars>
  <w:rsids>
    <w:rsidRoot w:val="00BB111E"/>
    <w:rsid w:val="00017964"/>
    <w:rsid w:val="0016398F"/>
    <w:rsid w:val="001964F0"/>
    <w:rsid w:val="001D76D3"/>
    <w:rsid w:val="003A1AE3"/>
    <w:rsid w:val="00457422"/>
    <w:rsid w:val="00530AF2"/>
    <w:rsid w:val="00573489"/>
    <w:rsid w:val="00635C48"/>
    <w:rsid w:val="006D0919"/>
    <w:rsid w:val="00B12A07"/>
    <w:rsid w:val="00BB111E"/>
    <w:rsid w:val="00E46677"/>
    <w:rsid w:val="00E57F40"/>
    <w:rsid w:val="00F02C27"/>
    <w:rsid w:val="01F20ECF"/>
    <w:rsid w:val="08C61EF6"/>
    <w:rsid w:val="0ABB393F"/>
    <w:rsid w:val="0B9B1B7E"/>
    <w:rsid w:val="0DFC330D"/>
    <w:rsid w:val="0F5F1E9D"/>
    <w:rsid w:val="12A04F4F"/>
    <w:rsid w:val="19E73463"/>
    <w:rsid w:val="1AFD0397"/>
    <w:rsid w:val="1C162984"/>
    <w:rsid w:val="213F4B2E"/>
    <w:rsid w:val="298365D8"/>
    <w:rsid w:val="2E1D6FFC"/>
    <w:rsid w:val="2F560A17"/>
    <w:rsid w:val="2F884949"/>
    <w:rsid w:val="3186310A"/>
    <w:rsid w:val="33BA709B"/>
    <w:rsid w:val="35AD209F"/>
    <w:rsid w:val="37E172EC"/>
    <w:rsid w:val="37EA08EC"/>
    <w:rsid w:val="38B30C88"/>
    <w:rsid w:val="3958538C"/>
    <w:rsid w:val="3ACD79FE"/>
    <w:rsid w:val="3F191AB0"/>
    <w:rsid w:val="3FF12096"/>
    <w:rsid w:val="424D1772"/>
    <w:rsid w:val="449E749C"/>
    <w:rsid w:val="494D4D8B"/>
    <w:rsid w:val="49E60051"/>
    <w:rsid w:val="4A001853"/>
    <w:rsid w:val="4D52686A"/>
    <w:rsid w:val="4E0E569C"/>
    <w:rsid w:val="50623973"/>
    <w:rsid w:val="50811214"/>
    <w:rsid w:val="5A7A4FF9"/>
    <w:rsid w:val="5AB16C5B"/>
    <w:rsid w:val="5C6A0DAE"/>
    <w:rsid w:val="5D79574D"/>
    <w:rsid w:val="5F9C1BC7"/>
    <w:rsid w:val="61EA7A3E"/>
    <w:rsid w:val="62447107"/>
    <w:rsid w:val="65AE4402"/>
    <w:rsid w:val="65CF7132"/>
    <w:rsid w:val="698976F1"/>
    <w:rsid w:val="729E6B86"/>
    <w:rsid w:val="72A9042B"/>
    <w:rsid w:val="75F26460"/>
    <w:rsid w:val="7A513882"/>
    <w:rsid w:val="7B166879"/>
    <w:rsid w:val="7E0B514B"/>
    <w:rsid w:val="7E73264D"/>
    <w:rsid w:val="7F3E6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footnote text"/>
    <w:basedOn w:val="1"/>
    <w:unhideWhenUsed/>
    <w:qFormat/>
    <w:uiPriority w:val="99"/>
    <w:pPr>
      <w:snapToGrid w:val="0"/>
      <w:jc w:val="left"/>
    </w:pPr>
    <w:rPr>
      <w:sz w:val="18"/>
    </w:rPr>
  </w:style>
  <w:style w:type="character" w:customStyle="1" w:styleId="8">
    <w:name w:val="批注框文本 Char"/>
    <w:basedOn w:val="7"/>
    <w:link w:val="2"/>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2206</Words>
  <Characters>255</Characters>
  <Lines>127</Lines>
  <Paragraphs>492</Paragraphs>
  <TotalTime>14</TotalTime>
  <ScaleCrop>false</ScaleCrop>
  <LinksUpToDate>false</LinksUpToDate>
  <CharactersWithSpaces>1969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常</cp:lastModifiedBy>
  <cp:lastPrinted>2023-12-25T08:19:00Z</cp:lastPrinted>
  <dcterms:modified xsi:type="dcterms:W3CDTF">2023-12-26T01:37:29Z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F91235F945BA4FE4837CDB1952697151_13</vt:lpwstr>
  </property>
</Properties>
</file>